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55" w:rsidRDefault="00B76955" w:rsidP="0074482F"/>
    <w:p w:rsidR="00B76955" w:rsidRDefault="00810BD5" w:rsidP="0074482F">
      <w:r>
        <w:rPr>
          <w:noProof/>
          <w:lang w:eastAsia="en-GB"/>
        </w:rPr>
        <w:drawing>
          <wp:anchor distT="0" distB="0" distL="114300" distR="114300" simplePos="0" relativeHeight="251659264" behindDoc="0" locked="0" layoutInCell="1" allowOverlap="1" wp14:anchorId="3441AE01" wp14:editId="1E1F0886">
            <wp:simplePos x="0" y="0"/>
            <wp:positionH relativeFrom="margin">
              <wp:align>center</wp:align>
            </wp:positionH>
            <wp:positionV relativeFrom="margin">
              <wp:posOffset>182245</wp:posOffset>
            </wp:positionV>
            <wp:extent cx="3114674" cy="3114674"/>
            <wp:effectExtent l="0" t="0" r="0" b="0"/>
            <wp:wrapNone/>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14674" cy="3114674"/>
                    </a:xfrm>
                    <a:prstGeom prst="rect">
                      <a:avLst/>
                    </a:prstGeom>
                    <a:noFill/>
                    <a:ln>
                      <a:noFill/>
                      <a:prstDash/>
                    </a:ln>
                  </pic:spPr>
                </pic:pic>
              </a:graphicData>
            </a:graphic>
          </wp:anchor>
        </w:drawing>
      </w:r>
    </w:p>
    <w:p w:rsidR="00B76955" w:rsidRDefault="00B76955" w:rsidP="0074482F"/>
    <w:p w:rsidR="00B76955" w:rsidRDefault="00B76955" w:rsidP="0074482F"/>
    <w:p w:rsidR="00B76955" w:rsidRDefault="00B76955" w:rsidP="0074482F"/>
    <w:p w:rsidR="006E1856" w:rsidRDefault="006E1856" w:rsidP="00773B25"/>
    <w:p w:rsidR="0032173A" w:rsidRDefault="0032173A" w:rsidP="0032173A"/>
    <w:p w:rsidR="00EE720A" w:rsidRDefault="00EE720A" w:rsidP="0032173A"/>
    <w:p w:rsidR="00CC3BAC" w:rsidRDefault="00CC3BAC" w:rsidP="0032173A"/>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Pr="00CC3BAC" w:rsidRDefault="00CC3BAC" w:rsidP="00CC3BAC"/>
    <w:p w:rsidR="00CC3BAC" w:rsidRDefault="00CC3BAC" w:rsidP="00CC3BAC">
      <w:pPr>
        <w:autoSpaceDN w:val="0"/>
        <w:jc w:val="center"/>
        <w:rPr>
          <w:rFonts w:ascii="Arial Black" w:eastAsia="Times New Roman" w:hAnsi="Arial Black" w:cs="Times New Roman"/>
          <w:b/>
          <w:kern w:val="0"/>
          <w:sz w:val="44"/>
          <w:szCs w:val="44"/>
          <w:lang w:eastAsia="en-GB"/>
          <w14:ligatures w14:val="none"/>
        </w:rPr>
      </w:pPr>
      <w:r w:rsidRPr="00CC3BAC">
        <w:rPr>
          <w:rFonts w:ascii="Arial Black" w:eastAsia="Times New Roman" w:hAnsi="Arial Black" w:cs="Times New Roman"/>
          <w:b/>
          <w:kern w:val="0"/>
          <w:sz w:val="44"/>
          <w:szCs w:val="44"/>
          <w:lang w:eastAsia="en-GB"/>
          <w14:ligatures w14:val="none"/>
        </w:rPr>
        <w:t>SPRINGWOOD PRIMARY SCHOOL</w:t>
      </w:r>
    </w:p>
    <w:p w:rsidR="00CC3BAC" w:rsidRPr="00CC3BAC" w:rsidRDefault="00CC3BAC" w:rsidP="00CC3BAC">
      <w:pPr>
        <w:autoSpaceDN w:val="0"/>
        <w:jc w:val="center"/>
        <w:rPr>
          <w:rFonts w:ascii="Arial Black" w:eastAsia="Times New Roman" w:hAnsi="Arial Black" w:cs="Times New Roman"/>
          <w:b/>
          <w:kern w:val="0"/>
          <w:sz w:val="44"/>
          <w:szCs w:val="44"/>
          <w:lang w:eastAsia="en-GB"/>
          <w14:ligatures w14:val="none"/>
        </w:rPr>
      </w:pPr>
    </w:p>
    <w:p w:rsidR="00CC3BAC" w:rsidRDefault="00FD3405" w:rsidP="00CC3BAC">
      <w:pPr>
        <w:autoSpaceDN w:val="0"/>
        <w:jc w:val="center"/>
        <w:rPr>
          <w:rFonts w:ascii="Arial Black" w:eastAsia="Times New Roman" w:hAnsi="Arial Black" w:cs="Times New Roman"/>
          <w:b/>
          <w:kern w:val="0"/>
          <w:sz w:val="36"/>
          <w:szCs w:val="28"/>
          <w:lang w:eastAsia="en-GB"/>
          <w14:ligatures w14:val="none"/>
        </w:rPr>
      </w:pPr>
      <w:r>
        <w:rPr>
          <w:rFonts w:ascii="Arial Black" w:eastAsia="Times New Roman" w:hAnsi="Arial Black" w:cs="Times New Roman"/>
          <w:b/>
          <w:kern w:val="0"/>
          <w:sz w:val="36"/>
          <w:szCs w:val="28"/>
          <w:lang w:eastAsia="en-GB"/>
          <w14:ligatures w14:val="none"/>
        </w:rPr>
        <w:t>ADMISSIONS POLICY</w:t>
      </w:r>
    </w:p>
    <w:p w:rsidR="00CC3BAC" w:rsidRDefault="00CC3BAC" w:rsidP="00CC3BAC">
      <w:pPr>
        <w:autoSpaceDN w:val="0"/>
        <w:jc w:val="center"/>
        <w:rPr>
          <w:rFonts w:ascii="Arial Black" w:eastAsia="Times New Roman" w:hAnsi="Arial Black" w:cs="Times New Roman"/>
          <w:b/>
          <w:kern w:val="0"/>
          <w:sz w:val="36"/>
          <w:szCs w:val="28"/>
          <w:lang w:eastAsia="en-GB"/>
          <w14:ligatures w14:val="none"/>
        </w:rPr>
      </w:pPr>
    </w:p>
    <w:p w:rsidR="00CC3BAC" w:rsidRPr="00CC3BAC" w:rsidRDefault="00CC3BAC" w:rsidP="00CC3BAC">
      <w:pPr>
        <w:autoSpaceDN w:val="0"/>
        <w:jc w:val="center"/>
        <w:rPr>
          <w:rFonts w:ascii="Arial Black" w:eastAsia="Times New Roman" w:hAnsi="Arial Black" w:cs="Times New Roman"/>
          <w:b/>
          <w:kern w:val="0"/>
          <w:sz w:val="36"/>
          <w:szCs w:val="28"/>
          <w:lang w:eastAsia="en-GB"/>
          <w14:ligatures w14:val="none"/>
        </w:rPr>
      </w:pPr>
    </w:p>
    <w:p w:rsidR="00CC3BAC" w:rsidRPr="00CC3BAC" w:rsidRDefault="00CC3BAC" w:rsidP="00CC3BAC">
      <w:pPr>
        <w:autoSpaceDN w:val="0"/>
        <w:jc w:val="center"/>
        <w:rPr>
          <w:rFonts w:ascii="Arial Black" w:eastAsia="Times New Roman" w:hAnsi="Arial Black" w:cs="Times New Roman"/>
          <w:b/>
          <w:kern w:val="0"/>
          <w:sz w:val="28"/>
          <w:szCs w:val="28"/>
          <w:lang w:eastAsia="en-GB"/>
          <w14:ligatures w14:val="none"/>
        </w:rPr>
      </w:pPr>
      <w:r>
        <w:rPr>
          <w:rFonts w:ascii="Arial Black" w:eastAsia="Times New Roman" w:hAnsi="Arial Black" w:cs="Times New Roman"/>
          <w:b/>
          <w:kern w:val="0"/>
          <w:sz w:val="28"/>
          <w:szCs w:val="28"/>
          <w:lang w:eastAsia="en-GB"/>
          <w14:ligatures w14:val="none"/>
        </w:rPr>
        <w:t xml:space="preserve">Head Teacher: </w:t>
      </w:r>
      <w:r w:rsidRPr="00CC3BAC">
        <w:rPr>
          <w:rFonts w:ascii="Arial Black" w:eastAsia="Times New Roman" w:hAnsi="Arial Black" w:cs="Times New Roman"/>
          <w:b/>
          <w:kern w:val="0"/>
          <w:sz w:val="28"/>
          <w:szCs w:val="28"/>
          <w:lang w:eastAsia="en-GB"/>
          <w14:ligatures w14:val="none"/>
        </w:rPr>
        <w:t>Mrs. Jacqui Wennington</w:t>
      </w:r>
    </w:p>
    <w:p w:rsidR="00CC3BAC" w:rsidRPr="00CC3BAC" w:rsidRDefault="00CC3BAC" w:rsidP="00CC3BAC"/>
    <w:tbl>
      <w:tblPr>
        <w:tblpPr w:leftFromText="180" w:rightFromText="180" w:vertAnchor="page" w:horzAnchor="page" w:tblpX="4456" w:tblpY="11821"/>
        <w:tblW w:w="5897" w:type="dxa"/>
        <w:tblCellMar>
          <w:left w:w="10" w:type="dxa"/>
          <w:right w:w="10" w:type="dxa"/>
        </w:tblCellMar>
        <w:tblLook w:val="0000" w:firstRow="0" w:lastRow="0" w:firstColumn="0" w:lastColumn="0" w:noHBand="0" w:noVBand="0"/>
      </w:tblPr>
      <w:tblGrid>
        <w:gridCol w:w="2807"/>
        <w:gridCol w:w="3090"/>
      </w:tblGrid>
      <w:tr w:rsidR="00E07EB3" w:rsidTr="00E07EB3">
        <w:trPr>
          <w:trHeight w:val="27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 xml:space="preserve">Head Teacher: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5464F7" w:rsidP="00E07EB3">
            <w:pPr>
              <w:rPr>
                <w:szCs w:val="22"/>
              </w:rPr>
            </w:pPr>
            <w:r>
              <w:rPr>
                <w:szCs w:val="22"/>
              </w:rPr>
              <w:t>Jacqui Wennington</w:t>
            </w:r>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 xml:space="preserve">Written by: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5464F7" w:rsidP="00E07EB3">
            <w:pPr>
              <w:rPr>
                <w:szCs w:val="22"/>
              </w:rPr>
            </w:pPr>
            <w:r>
              <w:rPr>
                <w:szCs w:val="22"/>
              </w:rPr>
              <w:t>Jeanette Woodward-Styles</w:t>
            </w:r>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Date written: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5464F7" w:rsidP="00E07EB3">
            <w:pPr>
              <w:rPr>
                <w:szCs w:val="22"/>
              </w:rPr>
            </w:pPr>
            <w:r>
              <w:rPr>
                <w:szCs w:val="22"/>
              </w:rPr>
              <w:t>October 2023</w:t>
            </w:r>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 xml:space="preserve">Next Review: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5464F7" w:rsidP="00E07EB3">
            <w:pPr>
              <w:rPr>
                <w:szCs w:val="22"/>
              </w:rPr>
            </w:pPr>
            <w:r>
              <w:rPr>
                <w:szCs w:val="22"/>
              </w:rPr>
              <w:t>September 2024</w:t>
            </w:r>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Ratified by Governors:</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Pr="005464F7" w:rsidRDefault="005464F7" w:rsidP="00E07EB3">
            <w:pPr>
              <w:rPr>
                <w:color w:val="FF0000"/>
                <w:szCs w:val="22"/>
              </w:rPr>
            </w:pPr>
            <w:r w:rsidRPr="001234D6">
              <w:rPr>
                <w:szCs w:val="22"/>
              </w:rPr>
              <w:t>School Improvement Committee</w:t>
            </w:r>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Date: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Pr="005464F7" w:rsidRDefault="00E27C4F" w:rsidP="00E07EB3">
            <w:pPr>
              <w:rPr>
                <w:color w:val="FF0000"/>
              </w:rPr>
            </w:pPr>
            <w:r>
              <w:rPr>
                <w:color w:val="000000" w:themeColor="text1"/>
              </w:rPr>
              <w:t>7</w:t>
            </w:r>
            <w:r w:rsidRPr="00E27C4F">
              <w:rPr>
                <w:color w:val="000000" w:themeColor="text1"/>
                <w:vertAlign w:val="superscript"/>
              </w:rPr>
              <w:t>th</w:t>
            </w:r>
            <w:r>
              <w:rPr>
                <w:color w:val="000000" w:themeColor="text1"/>
              </w:rPr>
              <w:t xml:space="preserve"> February 2024</w:t>
            </w:r>
            <w:bookmarkStart w:id="0" w:name="_GoBack"/>
            <w:bookmarkEnd w:id="0"/>
          </w:p>
        </w:tc>
      </w:tr>
      <w:tr w:rsidR="00E07EB3" w:rsidTr="00E07EB3">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07EB3" w:rsidP="00E07EB3">
            <w:pPr>
              <w:rPr>
                <w:szCs w:val="22"/>
              </w:rPr>
            </w:pPr>
            <w:r>
              <w:rPr>
                <w:szCs w:val="22"/>
              </w:rPr>
              <w:t xml:space="preserve">Published on the Website: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EB3" w:rsidRDefault="00E27C4F" w:rsidP="00E07EB3">
            <w:r>
              <w:rPr>
                <w:color w:val="000000" w:themeColor="text1"/>
              </w:rPr>
              <w:t>19</w:t>
            </w:r>
            <w:r w:rsidRPr="00E27C4F">
              <w:rPr>
                <w:color w:val="000000" w:themeColor="text1"/>
                <w:vertAlign w:val="superscript"/>
              </w:rPr>
              <w:t>th</w:t>
            </w:r>
            <w:r>
              <w:rPr>
                <w:color w:val="000000" w:themeColor="text1"/>
              </w:rPr>
              <w:t xml:space="preserve"> February 2024</w:t>
            </w:r>
          </w:p>
        </w:tc>
      </w:tr>
    </w:tbl>
    <w:p w:rsidR="00CC3BAC" w:rsidRDefault="00CC3BAC" w:rsidP="00CC3BAC"/>
    <w:p w:rsidR="00E92C11" w:rsidRDefault="00E92C11" w:rsidP="00CC3BAC"/>
    <w:p w:rsidR="00E92C11" w:rsidRPr="00CC3BAC" w:rsidRDefault="00E92C11" w:rsidP="00CC3BAC"/>
    <w:p w:rsidR="00CC3BAC" w:rsidRPr="00CC3BAC" w:rsidRDefault="00CC3BAC" w:rsidP="00CC3BAC"/>
    <w:p w:rsidR="00402C19" w:rsidRDefault="00402C19">
      <w:r>
        <w:rPr>
          <w:noProof/>
          <w:lang w:eastAsia="en-GB"/>
        </w:rPr>
        <w:drawing>
          <wp:anchor distT="0" distB="0" distL="114300" distR="114300" simplePos="0" relativeHeight="251660288" behindDoc="0" locked="0" layoutInCell="1" allowOverlap="1" wp14:anchorId="0D004E1F" wp14:editId="2C9EAD80">
            <wp:simplePos x="0" y="0"/>
            <wp:positionH relativeFrom="column">
              <wp:posOffset>47625</wp:posOffset>
            </wp:positionH>
            <wp:positionV relativeFrom="page">
              <wp:posOffset>9353550</wp:posOffset>
            </wp:positionV>
            <wp:extent cx="20955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072" t="22698" r="62232" b="18557"/>
                    <a:stretch/>
                  </pic:blipFill>
                  <pic:spPr bwMode="auto">
                    <a:xfrm>
                      <a:off x="0" y="0"/>
                      <a:ext cx="2095500" cy="838200"/>
                    </a:xfrm>
                    <a:prstGeom prst="rect">
                      <a:avLst/>
                    </a:prstGeom>
                    <a:noFill/>
                    <a:ln>
                      <a:noFill/>
                    </a:ln>
                    <a:extLst>
                      <a:ext uri="{53640926-AAD7-44D8-BBD7-CCE9431645EC}">
                        <a14:shadowObscured xmlns:a14="http://schemas.microsoft.com/office/drawing/2010/main"/>
                      </a:ext>
                    </a:extLst>
                  </pic:spPr>
                </pic:pic>
              </a:graphicData>
            </a:graphic>
          </wp:anchor>
        </w:drawing>
      </w:r>
      <w:r>
        <w:br w:type="page"/>
      </w:r>
    </w:p>
    <w:p w:rsidR="00402C19" w:rsidRDefault="00402C19" w:rsidP="00402C19">
      <w:pPr>
        <w:ind w:left="284" w:hanging="284"/>
        <w:rPr>
          <w:b/>
        </w:rPr>
      </w:pPr>
      <w:r w:rsidRPr="003C4B3F">
        <w:rPr>
          <w:b/>
        </w:rPr>
        <w:lastRenderedPageBreak/>
        <w:t>Introduction</w:t>
      </w:r>
    </w:p>
    <w:p w:rsidR="005464F7" w:rsidRPr="003C4B3F" w:rsidRDefault="005464F7" w:rsidP="00402C19">
      <w:pPr>
        <w:ind w:left="284" w:hanging="284"/>
        <w:rPr>
          <w:b/>
        </w:rPr>
      </w:pPr>
    </w:p>
    <w:p w:rsidR="00402C19" w:rsidRDefault="00402C19" w:rsidP="00402C19">
      <w:r w:rsidRPr="003C4B3F">
        <w:t>Springwood Primary School serves the whole of the City of Salford and offers places for pupils aged 4 to 11 years all of whom have an Education Health Care Plan</w:t>
      </w:r>
      <w:r>
        <w:t xml:space="preserve"> (EHCP)</w:t>
      </w:r>
      <w:r w:rsidRPr="003C4B3F">
        <w:t xml:space="preserve">. The school caters for pupils with severe, profound, multiple and complex needs. Some pupils also have complex medical needs. </w:t>
      </w:r>
    </w:p>
    <w:p w:rsidR="005464F7" w:rsidRPr="003C4B3F" w:rsidRDefault="005464F7" w:rsidP="00402C19"/>
    <w:p w:rsidR="00402C19" w:rsidRPr="005464F7" w:rsidRDefault="00402C19" w:rsidP="00402C19">
      <w:r>
        <w:t xml:space="preserve">Pupils are </w:t>
      </w:r>
      <w:r w:rsidRPr="005464F7">
        <w:t>educated at one of three sites:</w:t>
      </w:r>
    </w:p>
    <w:p w:rsidR="005464F7" w:rsidRPr="005464F7" w:rsidRDefault="005464F7" w:rsidP="00402C19"/>
    <w:p w:rsidR="00402C19" w:rsidRPr="005464F7" w:rsidRDefault="00402C19" w:rsidP="00402C19">
      <w:pPr>
        <w:pStyle w:val="ListParagraph"/>
        <w:numPr>
          <w:ilvl w:val="0"/>
          <w:numId w:val="2"/>
        </w:numPr>
        <w:rPr>
          <w:rFonts w:ascii="Arial" w:hAnsi="Arial" w:cs="Arial"/>
          <w:sz w:val="24"/>
          <w:szCs w:val="24"/>
        </w:rPr>
      </w:pPr>
      <w:r w:rsidRPr="005464F7">
        <w:rPr>
          <w:rFonts w:ascii="Arial" w:hAnsi="Arial" w:cs="Arial"/>
          <w:sz w:val="24"/>
          <w:szCs w:val="24"/>
        </w:rPr>
        <w:t>Springw</w:t>
      </w:r>
      <w:r w:rsidR="005464F7">
        <w:rPr>
          <w:rFonts w:ascii="Arial" w:hAnsi="Arial" w:cs="Arial"/>
          <w:sz w:val="24"/>
          <w:szCs w:val="24"/>
        </w:rPr>
        <w:t xml:space="preserve">ood Craig Hall, based in </w:t>
      </w:r>
      <w:proofErr w:type="spellStart"/>
      <w:r w:rsidR="005464F7">
        <w:rPr>
          <w:rFonts w:ascii="Arial" w:hAnsi="Arial" w:cs="Arial"/>
          <w:sz w:val="24"/>
          <w:szCs w:val="24"/>
        </w:rPr>
        <w:t>Irlam</w:t>
      </w:r>
      <w:proofErr w:type="spellEnd"/>
      <w:r w:rsidR="005464F7">
        <w:rPr>
          <w:rFonts w:ascii="Arial" w:hAnsi="Arial" w:cs="Arial"/>
          <w:sz w:val="24"/>
          <w:szCs w:val="24"/>
        </w:rPr>
        <w:t>,</w:t>
      </w:r>
      <w:r w:rsidRPr="005464F7">
        <w:rPr>
          <w:rFonts w:ascii="Arial" w:hAnsi="Arial" w:cs="Arial"/>
          <w:sz w:val="24"/>
          <w:szCs w:val="24"/>
        </w:rPr>
        <w:t xml:space="preserve"> for pupils in Early Years Foundation Stage and Key Stage One;</w:t>
      </w:r>
    </w:p>
    <w:p w:rsidR="00402C19" w:rsidRPr="005464F7" w:rsidRDefault="00402C19" w:rsidP="00402C19">
      <w:pPr>
        <w:pStyle w:val="ListParagraph"/>
        <w:numPr>
          <w:ilvl w:val="0"/>
          <w:numId w:val="2"/>
        </w:numPr>
        <w:rPr>
          <w:rFonts w:ascii="Arial" w:hAnsi="Arial" w:cs="Arial"/>
          <w:sz w:val="24"/>
          <w:szCs w:val="24"/>
        </w:rPr>
      </w:pPr>
      <w:r w:rsidRPr="005464F7">
        <w:rPr>
          <w:rFonts w:ascii="Arial" w:hAnsi="Arial" w:cs="Arial"/>
          <w:sz w:val="24"/>
          <w:szCs w:val="24"/>
        </w:rPr>
        <w:t>Springwood Hub based at Summerville Primary School</w:t>
      </w:r>
      <w:r w:rsidR="005464F7">
        <w:rPr>
          <w:rFonts w:ascii="Arial" w:hAnsi="Arial" w:cs="Arial"/>
          <w:sz w:val="24"/>
          <w:szCs w:val="24"/>
        </w:rPr>
        <w:t>,</w:t>
      </w:r>
      <w:r w:rsidRPr="005464F7">
        <w:rPr>
          <w:rFonts w:ascii="Arial" w:hAnsi="Arial" w:cs="Arial"/>
          <w:sz w:val="24"/>
          <w:szCs w:val="24"/>
        </w:rPr>
        <w:t xml:space="preserve"> for pupils in Key Stage One/Lower Key Stage Two and;</w:t>
      </w:r>
    </w:p>
    <w:p w:rsidR="00402C19" w:rsidRPr="005464F7" w:rsidRDefault="00402C19" w:rsidP="00402C19">
      <w:pPr>
        <w:pStyle w:val="ListParagraph"/>
        <w:numPr>
          <w:ilvl w:val="0"/>
          <w:numId w:val="2"/>
        </w:numPr>
        <w:rPr>
          <w:rFonts w:ascii="Arial" w:hAnsi="Arial" w:cs="Arial"/>
          <w:sz w:val="24"/>
          <w:szCs w:val="24"/>
        </w:rPr>
      </w:pPr>
      <w:r w:rsidRPr="005464F7">
        <w:rPr>
          <w:rFonts w:ascii="Arial" w:hAnsi="Arial" w:cs="Arial"/>
          <w:sz w:val="24"/>
          <w:szCs w:val="24"/>
        </w:rPr>
        <w:t>Springwood Swinton for pupils in Key Stage Two.</w:t>
      </w:r>
    </w:p>
    <w:p w:rsidR="00402C19" w:rsidRPr="005464F7" w:rsidRDefault="00402C19" w:rsidP="00402C19">
      <w:r w:rsidRPr="005464F7">
        <w:t xml:space="preserve">The current PAN (Published Admissions Number) for the school is 340, split over all year groups in the primary phase, across all three sites. </w:t>
      </w:r>
    </w:p>
    <w:p w:rsidR="00402C19" w:rsidRPr="005464F7" w:rsidRDefault="00402C19" w:rsidP="00402C19">
      <w:pPr>
        <w:rPr>
          <w:b/>
        </w:rPr>
      </w:pPr>
    </w:p>
    <w:p w:rsidR="005464F7" w:rsidRPr="005464F7" w:rsidRDefault="005464F7" w:rsidP="00402C19">
      <w:pPr>
        <w:rPr>
          <w:b/>
        </w:rPr>
      </w:pPr>
    </w:p>
    <w:p w:rsidR="00402C19" w:rsidRPr="005464F7" w:rsidRDefault="00402C19" w:rsidP="00402C19">
      <w:pPr>
        <w:rPr>
          <w:b/>
        </w:rPr>
      </w:pPr>
      <w:r w:rsidRPr="005464F7">
        <w:rPr>
          <w:b/>
        </w:rPr>
        <w:t>Aims</w:t>
      </w:r>
    </w:p>
    <w:p w:rsidR="005464F7" w:rsidRPr="005464F7" w:rsidRDefault="005464F7" w:rsidP="00402C19">
      <w:pPr>
        <w:rPr>
          <w:b/>
        </w:rPr>
      </w:pPr>
    </w:p>
    <w:p w:rsidR="00402C19" w:rsidRPr="005464F7" w:rsidRDefault="00402C19" w:rsidP="00402C19">
      <w:r w:rsidRPr="005464F7">
        <w:t>This policy aims to:</w:t>
      </w:r>
    </w:p>
    <w:p w:rsidR="005464F7" w:rsidRPr="005464F7" w:rsidRDefault="005464F7" w:rsidP="00402C19"/>
    <w:p w:rsidR="00402C19" w:rsidRPr="005464F7" w:rsidRDefault="00402C19" w:rsidP="00402C19">
      <w:pPr>
        <w:pStyle w:val="ListParagraph"/>
        <w:numPr>
          <w:ilvl w:val="0"/>
          <w:numId w:val="3"/>
        </w:numPr>
        <w:rPr>
          <w:rFonts w:ascii="Arial" w:hAnsi="Arial" w:cs="Arial"/>
          <w:sz w:val="24"/>
          <w:szCs w:val="24"/>
        </w:rPr>
      </w:pPr>
      <w:r w:rsidRPr="005464F7">
        <w:rPr>
          <w:rFonts w:ascii="Arial" w:hAnsi="Arial" w:cs="Arial"/>
          <w:sz w:val="24"/>
          <w:szCs w:val="24"/>
        </w:rPr>
        <w:t>Provide clarity on the school admissions process into Springwood Primary School;</w:t>
      </w:r>
    </w:p>
    <w:p w:rsidR="00402C19" w:rsidRPr="005464F7" w:rsidRDefault="00402C19" w:rsidP="00402C19">
      <w:pPr>
        <w:pStyle w:val="ListParagraph"/>
        <w:numPr>
          <w:ilvl w:val="0"/>
          <w:numId w:val="3"/>
        </w:numPr>
        <w:rPr>
          <w:rFonts w:ascii="Arial" w:hAnsi="Arial" w:cs="Arial"/>
          <w:sz w:val="24"/>
          <w:szCs w:val="24"/>
        </w:rPr>
      </w:pPr>
      <w:r w:rsidRPr="005464F7">
        <w:rPr>
          <w:rFonts w:ascii="Arial" w:hAnsi="Arial" w:cs="Arial"/>
          <w:sz w:val="24"/>
          <w:szCs w:val="24"/>
        </w:rPr>
        <w:t xml:space="preserve">Support the process of school admission for parents/carers and pupils; </w:t>
      </w:r>
    </w:p>
    <w:p w:rsidR="00402C19" w:rsidRPr="005464F7" w:rsidRDefault="00402C19" w:rsidP="00402C19">
      <w:pPr>
        <w:pStyle w:val="ListParagraph"/>
        <w:numPr>
          <w:ilvl w:val="0"/>
          <w:numId w:val="3"/>
        </w:numPr>
        <w:rPr>
          <w:rFonts w:ascii="Arial" w:hAnsi="Arial" w:cs="Arial"/>
          <w:sz w:val="24"/>
          <w:szCs w:val="24"/>
        </w:rPr>
      </w:pPr>
      <w:r w:rsidRPr="005464F7">
        <w:rPr>
          <w:rFonts w:ascii="Arial" w:hAnsi="Arial" w:cs="Arial"/>
          <w:sz w:val="24"/>
          <w:szCs w:val="24"/>
        </w:rPr>
        <w:t>Encourage partnership working with the Local Authority (LA);</w:t>
      </w:r>
    </w:p>
    <w:p w:rsidR="00402C19" w:rsidRPr="005464F7" w:rsidRDefault="00402C19" w:rsidP="00402C19">
      <w:pPr>
        <w:pStyle w:val="ListParagraph"/>
        <w:numPr>
          <w:ilvl w:val="0"/>
          <w:numId w:val="3"/>
        </w:numPr>
        <w:rPr>
          <w:rFonts w:ascii="Arial" w:hAnsi="Arial" w:cs="Arial"/>
          <w:sz w:val="24"/>
          <w:szCs w:val="24"/>
        </w:rPr>
      </w:pPr>
      <w:r w:rsidRPr="005464F7">
        <w:rPr>
          <w:rFonts w:ascii="Arial" w:hAnsi="Arial" w:cs="Arial"/>
          <w:sz w:val="24"/>
          <w:szCs w:val="24"/>
        </w:rPr>
        <w:t xml:space="preserve">Support pupils’ positive introduction to school. </w:t>
      </w:r>
    </w:p>
    <w:p w:rsidR="00402C19" w:rsidRPr="003C4B3F" w:rsidRDefault="00402C19" w:rsidP="00402C19">
      <w:pPr>
        <w:jc w:val="both"/>
        <w:rPr>
          <w:rFonts w:eastAsia="Calibri"/>
          <w:b/>
        </w:rPr>
      </w:pPr>
    </w:p>
    <w:p w:rsidR="00402C19" w:rsidRPr="003C4B3F" w:rsidRDefault="00402C19" w:rsidP="00402C19">
      <w:pPr>
        <w:jc w:val="both"/>
        <w:rPr>
          <w:rFonts w:eastAsia="Calibri"/>
          <w:b/>
        </w:rPr>
      </w:pPr>
      <w:r w:rsidRPr="003C4B3F">
        <w:rPr>
          <w:rFonts w:eastAsia="Calibri"/>
          <w:b/>
        </w:rPr>
        <w:t>Springwood</w:t>
      </w:r>
      <w:r w:rsidRPr="003C4B3F">
        <w:rPr>
          <w:rFonts w:eastAsia="Times New Roman"/>
          <w:b/>
        </w:rPr>
        <w:t xml:space="preserve"> </w:t>
      </w:r>
      <w:r w:rsidRPr="003C4B3F">
        <w:rPr>
          <w:rFonts w:eastAsia="Calibri"/>
          <w:b/>
        </w:rPr>
        <w:t>Admissions</w:t>
      </w:r>
    </w:p>
    <w:p w:rsidR="00402C19" w:rsidRPr="003C4B3F" w:rsidRDefault="00402C19" w:rsidP="00402C19">
      <w:pPr>
        <w:jc w:val="both"/>
        <w:rPr>
          <w:rFonts w:eastAsia="Times New Roman"/>
          <w:b/>
        </w:rPr>
      </w:pPr>
    </w:p>
    <w:p w:rsidR="00402C19" w:rsidRPr="003C4B3F" w:rsidRDefault="00402C19" w:rsidP="00402C19">
      <w:pPr>
        <w:jc w:val="both"/>
        <w:rPr>
          <w:rFonts w:eastAsia="Times New Roman"/>
        </w:rPr>
      </w:pPr>
      <w:r w:rsidRPr="003C4B3F">
        <w:rPr>
          <w:rFonts w:eastAsia="Calibri"/>
        </w:rPr>
        <w:t>Pupils</w:t>
      </w:r>
      <w:r w:rsidRPr="003C4B3F">
        <w:rPr>
          <w:rFonts w:eastAsia="Times New Roman"/>
        </w:rPr>
        <w:t xml:space="preserve"> </w:t>
      </w:r>
      <w:r w:rsidRPr="003C4B3F">
        <w:rPr>
          <w:rFonts w:eastAsia="Calibri"/>
        </w:rPr>
        <w:t>are</w:t>
      </w:r>
      <w:r>
        <w:rPr>
          <w:rFonts w:eastAsia="Times New Roman"/>
        </w:rPr>
        <w:t xml:space="preserve"> </w:t>
      </w:r>
      <w:r w:rsidRPr="003C4B3F">
        <w:rPr>
          <w:rFonts w:eastAsia="Calibri"/>
        </w:rPr>
        <w:t>offered</w:t>
      </w:r>
      <w:r w:rsidRPr="003C4B3F">
        <w:rPr>
          <w:rFonts w:eastAsia="Times New Roman"/>
        </w:rPr>
        <w:t xml:space="preserve"> </w:t>
      </w:r>
      <w:r w:rsidRPr="003C4B3F">
        <w:rPr>
          <w:rFonts w:eastAsia="Calibri"/>
        </w:rPr>
        <w:t>a</w:t>
      </w:r>
      <w:r w:rsidRPr="003C4B3F">
        <w:rPr>
          <w:rFonts w:eastAsia="Times New Roman"/>
        </w:rPr>
        <w:t xml:space="preserve"> </w:t>
      </w:r>
      <w:r w:rsidRPr="003C4B3F">
        <w:rPr>
          <w:rFonts w:eastAsia="Calibri"/>
        </w:rPr>
        <w:t>place</w:t>
      </w:r>
      <w:r w:rsidRPr="003C4B3F">
        <w:rPr>
          <w:rFonts w:eastAsia="Times New Roman"/>
        </w:rPr>
        <w:t xml:space="preserve"> </w:t>
      </w:r>
      <w:r w:rsidRPr="003C4B3F">
        <w:rPr>
          <w:rFonts w:eastAsia="Calibri"/>
        </w:rPr>
        <w:t>at</w:t>
      </w:r>
      <w:r w:rsidRPr="003C4B3F">
        <w:rPr>
          <w:rFonts w:eastAsia="Times New Roman"/>
        </w:rPr>
        <w:t xml:space="preserve"> </w:t>
      </w:r>
      <w:r w:rsidRPr="003C4B3F">
        <w:rPr>
          <w:rFonts w:eastAsia="Calibri"/>
        </w:rPr>
        <w:t>Springwood</w:t>
      </w:r>
      <w:r w:rsidRPr="003C4B3F">
        <w:rPr>
          <w:rFonts w:eastAsia="Times New Roman"/>
        </w:rPr>
        <w:t xml:space="preserve"> </w:t>
      </w:r>
      <w:r w:rsidRPr="003C4B3F">
        <w:rPr>
          <w:rFonts w:eastAsia="Calibri"/>
        </w:rPr>
        <w:t>if they</w:t>
      </w:r>
      <w:r w:rsidRPr="003C4B3F">
        <w:rPr>
          <w:rFonts w:eastAsia="Times New Roman"/>
        </w:rPr>
        <w:t xml:space="preserve"> </w:t>
      </w:r>
      <w:r w:rsidRPr="003C4B3F">
        <w:rPr>
          <w:rFonts w:eastAsia="Calibri"/>
        </w:rPr>
        <w:t>have</w:t>
      </w:r>
      <w:r w:rsidRPr="003C4B3F">
        <w:rPr>
          <w:rFonts w:eastAsia="Times New Roman"/>
        </w:rPr>
        <w:t xml:space="preserve"> </w:t>
      </w:r>
      <w:r w:rsidRPr="003C4B3F">
        <w:rPr>
          <w:rFonts w:eastAsia="Calibri"/>
        </w:rPr>
        <w:t>severe</w:t>
      </w:r>
      <w:r w:rsidRPr="003C4B3F">
        <w:rPr>
          <w:rFonts w:eastAsia="Times New Roman"/>
        </w:rPr>
        <w:t xml:space="preserve"> </w:t>
      </w:r>
      <w:r w:rsidRPr="003C4B3F">
        <w:rPr>
          <w:rFonts w:eastAsia="Calibri"/>
        </w:rPr>
        <w:t>and</w:t>
      </w:r>
      <w:r w:rsidRPr="003C4B3F">
        <w:rPr>
          <w:rFonts w:eastAsia="Times New Roman"/>
        </w:rPr>
        <w:t>/</w:t>
      </w:r>
      <w:r w:rsidRPr="003C4B3F">
        <w:rPr>
          <w:rFonts w:eastAsia="Calibri"/>
        </w:rPr>
        <w:t>or</w:t>
      </w:r>
      <w:r w:rsidRPr="003C4B3F">
        <w:rPr>
          <w:rFonts w:eastAsia="Times New Roman"/>
        </w:rPr>
        <w:t xml:space="preserve"> </w:t>
      </w:r>
      <w:r w:rsidRPr="003C4B3F">
        <w:rPr>
          <w:rFonts w:eastAsia="Calibri"/>
        </w:rPr>
        <w:t>complex</w:t>
      </w:r>
      <w:r w:rsidRPr="003C4B3F">
        <w:rPr>
          <w:rFonts w:eastAsia="Times New Roman"/>
        </w:rPr>
        <w:t xml:space="preserve"> </w:t>
      </w:r>
      <w:r w:rsidRPr="003C4B3F">
        <w:rPr>
          <w:rFonts w:eastAsia="Calibri"/>
        </w:rPr>
        <w:t>special</w:t>
      </w:r>
      <w:r w:rsidRPr="003C4B3F">
        <w:rPr>
          <w:rFonts w:eastAsia="Times New Roman"/>
        </w:rPr>
        <w:t xml:space="preserve"> </w:t>
      </w:r>
      <w:r w:rsidRPr="003C4B3F">
        <w:rPr>
          <w:rFonts w:eastAsia="Calibri"/>
        </w:rPr>
        <w:t>educational</w:t>
      </w:r>
      <w:r w:rsidRPr="003C4B3F">
        <w:rPr>
          <w:rFonts w:eastAsia="Times New Roman"/>
        </w:rPr>
        <w:t xml:space="preserve"> </w:t>
      </w:r>
      <w:r w:rsidRPr="003C4B3F">
        <w:rPr>
          <w:rFonts w:eastAsia="Calibri"/>
        </w:rPr>
        <w:t>needs</w:t>
      </w:r>
      <w:r w:rsidRPr="003C4B3F">
        <w:rPr>
          <w:rFonts w:eastAsia="Times New Roman"/>
        </w:rPr>
        <w:t xml:space="preserve"> </w:t>
      </w:r>
      <w:r w:rsidRPr="003C4B3F">
        <w:rPr>
          <w:rFonts w:eastAsia="Calibri"/>
        </w:rPr>
        <w:t>which</w:t>
      </w:r>
      <w:r w:rsidRPr="003C4B3F">
        <w:rPr>
          <w:rFonts w:eastAsia="Times New Roman"/>
        </w:rPr>
        <w:t xml:space="preserve"> </w:t>
      </w:r>
      <w:r w:rsidRPr="003C4B3F">
        <w:rPr>
          <w:rFonts w:eastAsia="Calibri"/>
        </w:rPr>
        <w:t>their</w:t>
      </w:r>
      <w:r w:rsidRPr="003C4B3F">
        <w:rPr>
          <w:rFonts w:eastAsia="Times New Roman"/>
        </w:rPr>
        <w:t xml:space="preserve"> </w:t>
      </w:r>
      <w:r w:rsidRPr="003C4B3F">
        <w:rPr>
          <w:rFonts w:eastAsia="Calibri"/>
        </w:rPr>
        <w:t>Education, Health and Care Plan</w:t>
      </w:r>
      <w:r w:rsidRPr="003C4B3F">
        <w:rPr>
          <w:rFonts w:eastAsia="Times New Roman"/>
        </w:rPr>
        <w:t xml:space="preserve"> (EHCP) </w:t>
      </w:r>
      <w:r w:rsidRPr="003C4B3F">
        <w:rPr>
          <w:rFonts w:eastAsia="Calibri"/>
        </w:rPr>
        <w:t>says</w:t>
      </w:r>
      <w:r w:rsidRPr="003C4B3F">
        <w:rPr>
          <w:rFonts w:eastAsia="Times New Roman"/>
        </w:rPr>
        <w:t xml:space="preserve"> </w:t>
      </w:r>
      <w:r w:rsidRPr="003C4B3F">
        <w:rPr>
          <w:rFonts w:eastAsia="Calibri"/>
        </w:rPr>
        <w:t>can</w:t>
      </w:r>
      <w:r w:rsidRPr="003C4B3F">
        <w:rPr>
          <w:rFonts w:eastAsia="Times New Roman"/>
        </w:rPr>
        <w:t xml:space="preserve"> </w:t>
      </w:r>
      <w:r w:rsidRPr="003C4B3F">
        <w:rPr>
          <w:rFonts w:eastAsia="Calibri"/>
        </w:rPr>
        <w:t>be</w:t>
      </w:r>
      <w:r w:rsidRPr="003C4B3F">
        <w:rPr>
          <w:rFonts w:eastAsia="Times New Roman"/>
        </w:rPr>
        <w:t xml:space="preserve"> </w:t>
      </w:r>
      <w:r w:rsidRPr="003C4B3F">
        <w:rPr>
          <w:rFonts w:eastAsia="Calibri"/>
        </w:rPr>
        <w:t>best</w:t>
      </w:r>
      <w:r w:rsidRPr="003C4B3F">
        <w:rPr>
          <w:rFonts w:eastAsia="Times New Roman"/>
        </w:rPr>
        <w:t xml:space="preserve"> </w:t>
      </w:r>
      <w:r w:rsidRPr="003C4B3F">
        <w:rPr>
          <w:rFonts w:eastAsia="Calibri"/>
        </w:rPr>
        <w:t>met</w:t>
      </w:r>
      <w:r w:rsidRPr="003C4B3F">
        <w:rPr>
          <w:rFonts w:eastAsia="Times New Roman"/>
        </w:rPr>
        <w:t xml:space="preserve"> </w:t>
      </w:r>
      <w:r w:rsidRPr="003C4B3F">
        <w:rPr>
          <w:rFonts w:eastAsia="Calibri"/>
        </w:rPr>
        <w:t>within</w:t>
      </w:r>
      <w:r w:rsidRPr="003C4B3F">
        <w:rPr>
          <w:rFonts w:eastAsia="Times New Roman"/>
        </w:rPr>
        <w:t xml:space="preserve"> </w:t>
      </w:r>
      <w:r>
        <w:rPr>
          <w:rFonts w:eastAsia="Times New Roman"/>
        </w:rPr>
        <w:t xml:space="preserve">a </w:t>
      </w:r>
      <w:r w:rsidRPr="003C4B3F">
        <w:rPr>
          <w:rFonts w:eastAsia="Calibri"/>
        </w:rPr>
        <w:t>specialist</w:t>
      </w:r>
      <w:r w:rsidRPr="003C4B3F">
        <w:rPr>
          <w:rFonts w:eastAsia="Times New Roman"/>
        </w:rPr>
        <w:t xml:space="preserve"> </w:t>
      </w:r>
      <w:r w:rsidRPr="003C4B3F">
        <w:rPr>
          <w:rFonts w:eastAsia="Calibri"/>
        </w:rPr>
        <w:t>provision</w:t>
      </w:r>
      <w:r w:rsidRPr="003C4B3F">
        <w:rPr>
          <w:rFonts w:eastAsia="Times New Roman"/>
        </w:rPr>
        <w:t>.</w:t>
      </w:r>
    </w:p>
    <w:p w:rsidR="00402C19" w:rsidRPr="003C4B3F" w:rsidRDefault="00402C19" w:rsidP="00402C19">
      <w:pPr>
        <w:tabs>
          <w:tab w:val="left" w:pos="1080"/>
        </w:tabs>
        <w:rPr>
          <w:rFonts w:eastAsia="Calibri"/>
        </w:rPr>
      </w:pPr>
    </w:p>
    <w:p w:rsidR="00402C19" w:rsidRPr="003C4B3F" w:rsidRDefault="00402C19" w:rsidP="00402C19">
      <w:pPr>
        <w:tabs>
          <w:tab w:val="left" w:pos="1080"/>
        </w:tabs>
        <w:rPr>
          <w:rFonts w:eastAsia="Times New Roman"/>
        </w:rPr>
      </w:pPr>
      <w:r w:rsidRPr="003C4B3F">
        <w:rPr>
          <w:rFonts w:eastAsia="Calibri"/>
        </w:rPr>
        <w:t>Pupils</w:t>
      </w:r>
      <w:r w:rsidRPr="003C4B3F">
        <w:rPr>
          <w:rFonts w:eastAsia="Times New Roman"/>
        </w:rPr>
        <w:t xml:space="preserve"> </w:t>
      </w:r>
      <w:r w:rsidRPr="003C4B3F">
        <w:rPr>
          <w:rFonts w:eastAsia="Calibri"/>
        </w:rPr>
        <w:t>are</w:t>
      </w:r>
      <w:r w:rsidRPr="003C4B3F">
        <w:rPr>
          <w:rFonts w:eastAsia="Times New Roman"/>
        </w:rPr>
        <w:t xml:space="preserve"> </w:t>
      </w:r>
      <w:r w:rsidRPr="003C4B3F">
        <w:rPr>
          <w:rFonts w:eastAsia="Calibri"/>
        </w:rPr>
        <w:t>admitted</w:t>
      </w:r>
      <w:r w:rsidRPr="003C4B3F">
        <w:rPr>
          <w:rFonts w:eastAsia="Times New Roman"/>
        </w:rPr>
        <w:t xml:space="preserve"> </w:t>
      </w:r>
      <w:r w:rsidRPr="003C4B3F">
        <w:rPr>
          <w:rFonts w:eastAsia="Calibri"/>
        </w:rPr>
        <w:t>to</w:t>
      </w:r>
      <w:r w:rsidRPr="003C4B3F">
        <w:rPr>
          <w:rFonts w:eastAsia="Times New Roman"/>
        </w:rPr>
        <w:t xml:space="preserve"> </w:t>
      </w:r>
      <w:r w:rsidRPr="003C4B3F">
        <w:rPr>
          <w:rFonts w:eastAsia="Calibri"/>
        </w:rPr>
        <w:t>the</w:t>
      </w:r>
      <w:r w:rsidRPr="003C4B3F">
        <w:rPr>
          <w:rFonts w:eastAsia="Times New Roman"/>
        </w:rPr>
        <w:t xml:space="preserve"> </w:t>
      </w:r>
      <w:r w:rsidRPr="003C4B3F">
        <w:rPr>
          <w:rFonts w:eastAsia="Calibri"/>
        </w:rPr>
        <w:t>school</w:t>
      </w:r>
      <w:r w:rsidRPr="003C4B3F">
        <w:rPr>
          <w:rFonts w:eastAsia="Times New Roman"/>
        </w:rPr>
        <w:t xml:space="preserve"> </w:t>
      </w:r>
      <w:r w:rsidRPr="003C4B3F">
        <w:rPr>
          <w:rFonts w:eastAsia="Calibri"/>
        </w:rPr>
        <w:t>in</w:t>
      </w:r>
      <w:r w:rsidRPr="003C4B3F">
        <w:rPr>
          <w:rFonts w:eastAsia="Times New Roman"/>
        </w:rPr>
        <w:t xml:space="preserve"> </w:t>
      </w:r>
      <w:r w:rsidRPr="003C4B3F">
        <w:rPr>
          <w:rFonts w:eastAsia="Calibri"/>
        </w:rPr>
        <w:t>the</w:t>
      </w:r>
      <w:r w:rsidRPr="003C4B3F">
        <w:rPr>
          <w:rFonts w:eastAsia="Times New Roman"/>
        </w:rPr>
        <w:t xml:space="preserve"> </w:t>
      </w:r>
      <w:r w:rsidRPr="003C4B3F">
        <w:rPr>
          <w:rFonts w:eastAsia="Calibri"/>
        </w:rPr>
        <w:t>following</w:t>
      </w:r>
      <w:r w:rsidRPr="003C4B3F">
        <w:rPr>
          <w:rFonts w:eastAsia="Times New Roman"/>
        </w:rPr>
        <w:t xml:space="preserve"> </w:t>
      </w:r>
      <w:r w:rsidRPr="003C4B3F">
        <w:rPr>
          <w:rFonts w:eastAsia="Calibri"/>
        </w:rPr>
        <w:t>ways</w:t>
      </w:r>
      <w:r w:rsidRPr="003C4B3F">
        <w:rPr>
          <w:rFonts w:eastAsia="Times New Roman"/>
        </w:rPr>
        <w:t>:</w:t>
      </w:r>
    </w:p>
    <w:p w:rsidR="00402C19" w:rsidRPr="003C4B3F" w:rsidRDefault="00402C19" w:rsidP="00402C19">
      <w:pPr>
        <w:tabs>
          <w:tab w:val="left" w:pos="1080"/>
        </w:tabs>
        <w:ind w:left="720" w:hanging="360"/>
        <w:rPr>
          <w:rFonts w:eastAsia="Times New Roman"/>
        </w:rPr>
      </w:pPr>
    </w:p>
    <w:p w:rsidR="00402C19" w:rsidRPr="003C4B3F" w:rsidRDefault="00402C19" w:rsidP="00402C19">
      <w:pPr>
        <w:numPr>
          <w:ilvl w:val="0"/>
          <w:numId w:val="1"/>
        </w:numPr>
        <w:tabs>
          <w:tab w:val="left" w:pos="1080"/>
        </w:tabs>
        <w:rPr>
          <w:rFonts w:eastAsia="Times New Roman"/>
        </w:rPr>
      </w:pPr>
      <w:r w:rsidRPr="003C4B3F">
        <w:rPr>
          <w:rFonts w:eastAsia="Calibri"/>
        </w:rPr>
        <w:t>Via</w:t>
      </w:r>
      <w:r w:rsidRPr="003C4B3F">
        <w:rPr>
          <w:rFonts w:eastAsia="Times New Roman"/>
        </w:rPr>
        <w:t xml:space="preserve"> </w:t>
      </w:r>
      <w:r w:rsidRPr="003C4B3F">
        <w:rPr>
          <w:rFonts w:eastAsia="Calibri"/>
        </w:rPr>
        <w:t>formal</w:t>
      </w:r>
      <w:r w:rsidRPr="003C4B3F">
        <w:rPr>
          <w:rFonts w:eastAsia="Times New Roman"/>
        </w:rPr>
        <w:t xml:space="preserve"> </w:t>
      </w:r>
      <w:r w:rsidRPr="003C4B3F">
        <w:rPr>
          <w:rFonts w:eastAsia="Calibri"/>
        </w:rPr>
        <w:t>assessment</w:t>
      </w:r>
      <w:r w:rsidRPr="003C4B3F">
        <w:rPr>
          <w:rFonts w:eastAsia="Times New Roman"/>
        </w:rPr>
        <w:t xml:space="preserve"> </w:t>
      </w:r>
      <w:r w:rsidRPr="003C4B3F">
        <w:rPr>
          <w:rFonts w:eastAsia="Calibri"/>
        </w:rPr>
        <w:t>resulting</w:t>
      </w:r>
      <w:r w:rsidRPr="003C4B3F">
        <w:rPr>
          <w:rFonts w:eastAsia="Times New Roman"/>
        </w:rPr>
        <w:t xml:space="preserve"> </w:t>
      </w:r>
      <w:r w:rsidRPr="003C4B3F">
        <w:rPr>
          <w:rFonts w:eastAsia="Calibri"/>
        </w:rPr>
        <w:t>in</w:t>
      </w:r>
      <w:r w:rsidRPr="003C4B3F">
        <w:rPr>
          <w:rFonts w:eastAsia="Times New Roman"/>
        </w:rPr>
        <w:t xml:space="preserve"> </w:t>
      </w:r>
      <w:r w:rsidRPr="003C4B3F">
        <w:rPr>
          <w:rFonts w:eastAsia="Calibri"/>
        </w:rPr>
        <w:t>an</w:t>
      </w:r>
      <w:r w:rsidRPr="003C4B3F">
        <w:rPr>
          <w:rFonts w:eastAsia="Times New Roman"/>
        </w:rPr>
        <w:t xml:space="preserve"> EHCP </w:t>
      </w:r>
      <w:r w:rsidRPr="003C4B3F">
        <w:rPr>
          <w:rFonts w:eastAsia="Calibri"/>
        </w:rPr>
        <w:t>being</w:t>
      </w:r>
      <w:r w:rsidRPr="003C4B3F">
        <w:rPr>
          <w:rFonts w:eastAsia="Times New Roman"/>
        </w:rPr>
        <w:t xml:space="preserve"> </w:t>
      </w:r>
      <w:r w:rsidRPr="003C4B3F">
        <w:rPr>
          <w:rFonts w:eastAsia="Calibri"/>
        </w:rPr>
        <w:t>issued</w:t>
      </w:r>
      <w:r w:rsidRPr="003C4B3F">
        <w:rPr>
          <w:rFonts w:eastAsia="Times New Roman"/>
        </w:rPr>
        <w:t xml:space="preserve"> </w:t>
      </w:r>
      <w:r w:rsidRPr="003C4B3F">
        <w:rPr>
          <w:rFonts w:eastAsia="Calibri"/>
        </w:rPr>
        <w:t>that</w:t>
      </w:r>
      <w:r w:rsidRPr="003C4B3F">
        <w:rPr>
          <w:rFonts w:eastAsia="Times New Roman"/>
        </w:rPr>
        <w:t xml:space="preserve"> </w:t>
      </w:r>
      <w:r w:rsidRPr="003C4B3F">
        <w:rPr>
          <w:rFonts w:eastAsia="Calibri"/>
        </w:rPr>
        <w:t>identifies</w:t>
      </w:r>
      <w:r w:rsidRPr="003C4B3F">
        <w:rPr>
          <w:rFonts w:eastAsia="Times New Roman"/>
        </w:rPr>
        <w:t xml:space="preserve"> </w:t>
      </w:r>
      <w:r w:rsidRPr="003C4B3F">
        <w:rPr>
          <w:rFonts w:eastAsia="Calibri"/>
        </w:rPr>
        <w:t>Springwood</w:t>
      </w:r>
      <w:r w:rsidRPr="003C4B3F">
        <w:rPr>
          <w:rFonts w:eastAsia="Times New Roman"/>
        </w:rPr>
        <w:t xml:space="preserve"> </w:t>
      </w:r>
      <w:r w:rsidRPr="003C4B3F">
        <w:rPr>
          <w:rFonts w:eastAsia="Calibri"/>
        </w:rPr>
        <w:t>School</w:t>
      </w:r>
      <w:r w:rsidRPr="003C4B3F">
        <w:rPr>
          <w:rFonts w:eastAsia="Times New Roman"/>
        </w:rPr>
        <w:t xml:space="preserve"> </w:t>
      </w:r>
      <w:r w:rsidRPr="003C4B3F">
        <w:rPr>
          <w:rFonts w:eastAsia="Calibri"/>
        </w:rPr>
        <w:t>as</w:t>
      </w:r>
      <w:r w:rsidRPr="003C4B3F">
        <w:rPr>
          <w:rFonts w:eastAsia="Times New Roman"/>
        </w:rPr>
        <w:t xml:space="preserve"> </w:t>
      </w:r>
      <w:r w:rsidRPr="003C4B3F">
        <w:rPr>
          <w:rFonts w:eastAsia="Calibri"/>
        </w:rPr>
        <w:t>the</w:t>
      </w:r>
      <w:r w:rsidRPr="003C4B3F">
        <w:rPr>
          <w:rFonts w:eastAsia="Times New Roman"/>
        </w:rPr>
        <w:t xml:space="preserve"> </w:t>
      </w:r>
      <w:r w:rsidRPr="003C4B3F">
        <w:rPr>
          <w:rFonts w:eastAsia="Calibri"/>
        </w:rPr>
        <w:t>most</w:t>
      </w:r>
      <w:r w:rsidRPr="003C4B3F">
        <w:rPr>
          <w:rFonts w:eastAsia="Times New Roman"/>
        </w:rPr>
        <w:t xml:space="preserve"> </w:t>
      </w:r>
      <w:r w:rsidRPr="003C4B3F">
        <w:rPr>
          <w:rFonts w:eastAsia="Calibri"/>
        </w:rPr>
        <w:t>suitable</w:t>
      </w:r>
      <w:r w:rsidRPr="003C4B3F">
        <w:rPr>
          <w:rFonts w:eastAsia="Times New Roman"/>
        </w:rPr>
        <w:t xml:space="preserve"> </w:t>
      </w:r>
      <w:r w:rsidRPr="003C4B3F">
        <w:rPr>
          <w:rFonts w:eastAsia="Calibri"/>
        </w:rPr>
        <w:t>placement</w:t>
      </w:r>
      <w:r w:rsidRPr="003C4B3F">
        <w:rPr>
          <w:rFonts w:eastAsia="Times New Roman"/>
        </w:rPr>
        <w:t>;</w:t>
      </w:r>
    </w:p>
    <w:p w:rsidR="00402C19" w:rsidRDefault="00402C19" w:rsidP="00402C19">
      <w:pPr>
        <w:numPr>
          <w:ilvl w:val="0"/>
          <w:numId w:val="1"/>
        </w:numPr>
        <w:tabs>
          <w:tab w:val="left" w:pos="1080"/>
        </w:tabs>
        <w:jc w:val="both"/>
        <w:rPr>
          <w:rFonts w:eastAsia="Times New Roman"/>
        </w:rPr>
      </w:pPr>
      <w:r w:rsidRPr="003C4B3F">
        <w:rPr>
          <w:rFonts w:eastAsia="Calibri"/>
        </w:rPr>
        <w:t>Via</w:t>
      </w:r>
      <w:r w:rsidRPr="003C4B3F">
        <w:rPr>
          <w:rFonts w:eastAsia="Times New Roman"/>
        </w:rPr>
        <w:t xml:space="preserve"> </w:t>
      </w:r>
      <w:r w:rsidRPr="003C4B3F">
        <w:rPr>
          <w:rFonts w:eastAsia="Calibri"/>
        </w:rPr>
        <w:t>transfer</w:t>
      </w:r>
      <w:r w:rsidRPr="003C4B3F">
        <w:rPr>
          <w:rFonts w:eastAsia="Times New Roman"/>
        </w:rPr>
        <w:t xml:space="preserve"> </w:t>
      </w:r>
      <w:r w:rsidRPr="003C4B3F">
        <w:rPr>
          <w:rFonts w:eastAsia="Calibri"/>
        </w:rPr>
        <w:t>from</w:t>
      </w:r>
      <w:r w:rsidRPr="003C4B3F">
        <w:rPr>
          <w:rFonts w:eastAsia="Times New Roman"/>
        </w:rPr>
        <w:t xml:space="preserve"> </w:t>
      </w:r>
      <w:r w:rsidRPr="003C4B3F">
        <w:rPr>
          <w:rFonts w:eastAsia="Calibri"/>
        </w:rPr>
        <w:t>another</w:t>
      </w:r>
      <w:r w:rsidRPr="003C4B3F">
        <w:rPr>
          <w:rFonts w:eastAsia="Times New Roman"/>
        </w:rPr>
        <w:t xml:space="preserve"> </w:t>
      </w:r>
      <w:r w:rsidRPr="003C4B3F">
        <w:rPr>
          <w:rFonts w:eastAsia="Calibri"/>
        </w:rPr>
        <w:t>L</w:t>
      </w:r>
      <w:r>
        <w:rPr>
          <w:rFonts w:eastAsia="Calibri"/>
        </w:rPr>
        <w:t>A</w:t>
      </w:r>
      <w:r w:rsidRPr="003C4B3F">
        <w:rPr>
          <w:rFonts w:eastAsia="Times New Roman"/>
        </w:rPr>
        <w:t xml:space="preserve"> </w:t>
      </w:r>
      <w:r w:rsidRPr="003C4B3F">
        <w:rPr>
          <w:rFonts w:eastAsia="Calibri"/>
        </w:rPr>
        <w:t>on</w:t>
      </w:r>
      <w:r w:rsidRPr="003C4B3F">
        <w:rPr>
          <w:rFonts w:eastAsia="Times New Roman"/>
        </w:rPr>
        <w:t xml:space="preserve"> </w:t>
      </w:r>
      <w:r w:rsidRPr="003C4B3F">
        <w:rPr>
          <w:rFonts w:eastAsia="Calibri"/>
        </w:rPr>
        <w:t>moving</w:t>
      </w:r>
      <w:r w:rsidRPr="003C4B3F">
        <w:rPr>
          <w:rFonts w:eastAsia="Times New Roman"/>
        </w:rPr>
        <w:t xml:space="preserve"> </w:t>
      </w:r>
      <w:r w:rsidRPr="003C4B3F">
        <w:rPr>
          <w:rFonts w:eastAsia="Calibri"/>
        </w:rPr>
        <w:t>into</w:t>
      </w:r>
      <w:r w:rsidRPr="003C4B3F">
        <w:rPr>
          <w:rFonts w:eastAsia="Times New Roman"/>
        </w:rPr>
        <w:t xml:space="preserve"> </w:t>
      </w:r>
      <w:r w:rsidRPr="003C4B3F">
        <w:rPr>
          <w:rFonts w:eastAsia="Calibri"/>
        </w:rPr>
        <w:t>the</w:t>
      </w:r>
      <w:r w:rsidRPr="003C4B3F">
        <w:rPr>
          <w:rFonts w:eastAsia="Times New Roman"/>
        </w:rPr>
        <w:t xml:space="preserve"> </w:t>
      </w:r>
      <w:r w:rsidRPr="003C4B3F">
        <w:rPr>
          <w:rFonts w:eastAsia="Calibri"/>
        </w:rPr>
        <w:t>area</w:t>
      </w:r>
      <w:r w:rsidRPr="003C4B3F">
        <w:rPr>
          <w:rFonts w:eastAsia="Times New Roman"/>
        </w:rPr>
        <w:t>;</w:t>
      </w:r>
    </w:p>
    <w:p w:rsidR="00402C19" w:rsidRPr="003C4B3F" w:rsidRDefault="00402C19" w:rsidP="00402C19">
      <w:pPr>
        <w:numPr>
          <w:ilvl w:val="0"/>
          <w:numId w:val="1"/>
        </w:numPr>
        <w:tabs>
          <w:tab w:val="left" w:pos="1080"/>
        </w:tabs>
        <w:jc w:val="both"/>
        <w:rPr>
          <w:rFonts w:eastAsia="Times New Roman"/>
        </w:rPr>
      </w:pPr>
      <w:r>
        <w:rPr>
          <w:rFonts w:eastAsia="Times New Roman"/>
        </w:rPr>
        <w:t xml:space="preserve">On rare occasions, pupils without an EHCP may be admitted via an assessment place. This will be in liaison with the LA. </w:t>
      </w:r>
    </w:p>
    <w:p w:rsidR="00402C19" w:rsidRPr="003C4B3F" w:rsidRDefault="00402C19" w:rsidP="00402C19">
      <w:pPr>
        <w:tabs>
          <w:tab w:val="left" w:pos="1080"/>
        </w:tabs>
        <w:ind w:left="720"/>
        <w:jc w:val="both"/>
        <w:rPr>
          <w:rFonts w:eastAsia="Times New Roman"/>
        </w:rPr>
      </w:pPr>
    </w:p>
    <w:p w:rsidR="00402C19" w:rsidRPr="003C4B3F" w:rsidRDefault="00402C19" w:rsidP="00402C19">
      <w:pPr>
        <w:rPr>
          <w:rFonts w:eastAsia="Calibri"/>
        </w:rPr>
      </w:pPr>
      <w:r w:rsidRPr="003C4B3F">
        <w:rPr>
          <w:rFonts w:eastAsia="Calibri"/>
        </w:rPr>
        <w:t xml:space="preserve">All places at Springwood are </w:t>
      </w:r>
      <w:r w:rsidRPr="001B7CE8">
        <w:rPr>
          <w:rFonts w:eastAsia="Calibri"/>
        </w:rPr>
        <w:t>managed</w:t>
      </w:r>
      <w:r>
        <w:rPr>
          <w:rFonts w:eastAsia="Calibri"/>
        </w:rPr>
        <w:t xml:space="preserve"> by Salford LA</w:t>
      </w:r>
      <w:r w:rsidRPr="003C4B3F">
        <w:rPr>
          <w:rFonts w:eastAsia="Calibri"/>
        </w:rPr>
        <w:t xml:space="preserve"> and are agreed by th</w:t>
      </w:r>
      <w:r>
        <w:rPr>
          <w:rFonts w:eastAsia="Calibri"/>
        </w:rPr>
        <w:t>e school and the LA</w:t>
      </w:r>
      <w:r w:rsidRPr="003C4B3F">
        <w:rPr>
          <w:rFonts w:eastAsia="Calibri"/>
        </w:rPr>
        <w:t xml:space="preserve"> S</w:t>
      </w:r>
      <w:r>
        <w:rPr>
          <w:rFonts w:eastAsia="Calibri"/>
        </w:rPr>
        <w:t xml:space="preserve">pecial </w:t>
      </w:r>
      <w:r w:rsidRPr="003C4B3F">
        <w:rPr>
          <w:rFonts w:eastAsia="Calibri"/>
        </w:rPr>
        <w:t>E</w:t>
      </w:r>
      <w:r>
        <w:rPr>
          <w:rFonts w:eastAsia="Calibri"/>
        </w:rPr>
        <w:t xml:space="preserve">ducational </w:t>
      </w:r>
      <w:r w:rsidRPr="003C4B3F">
        <w:rPr>
          <w:rFonts w:eastAsia="Calibri"/>
        </w:rPr>
        <w:t>N</w:t>
      </w:r>
      <w:r>
        <w:rPr>
          <w:rFonts w:eastAsia="Calibri"/>
        </w:rPr>
        <w:t xml:space="preserve">eeds and </w:t>
      </w:r>
      <w:r w:rsidRPr="003C4B3F">
        <w:rPr>
          <w:rFonts w:eastAsia="Calibri"/>
        </w:rPr>
        <w:t>D</w:t>
      </w:r>
      <w:r>
        <w:rPr>
          <w:rFonts w:eastAsia="Calibri"/>
        </w:rPr>
        <w:t>isabilities (SEND)</w:t>
      </w:r>
      <w:r w:rsidRPr="003C4B3F">
        <w:rPr>
          <w:rFonts w:eastAsia="Calibri"/>
        </w:rPr>
        <w:t xml:space="preserve"> Panel. </w:t>
      </w:r>
    </w:p>
    <w:p w:rsidR="00402C19" w:rsidRPr="003C4B3F" w:rsidRDefault="00402C19" w:rsidP="00402C19">
      <w:r w:rsidRPr="003C4B3F">
        <w:t>More information about school admissions in Salford LA can be found on the Salford Local Offer website:</w:t>
      </w:r>
    </w:p>
    <w:p w:rsidR="00402C19" w:rsidRPr="003C4B3F" w:rsidRDefault="00E27C4F" w:rsidP="00402C19">
      <w:hyperlink r:id="rId9" w:history="1">
        <w:r w:rsidR="00402C19" w:rsidRPr="003C4B3F">
          <w:rPr>
            <w:rStyle w:val="Hyperlink"/>
          </w:rPr>
          <w:t>www.salford.gov.uk/localoffer</w:t>
        </w:r>
      </w:hyperlink>
      <w:r w:rsidR="00402C19" w:rsidRPr="003C4B3F">
        <w:t xml:space="preserve"> </w:t>
      </w:r>
    </w:p>
    <w:p w:rsidR="00402C19" w:rsidRPr="003C4B3F" w:rsidRDefault="00402C19" w:rsidP="00402C19">
      <w:pPr>
        <w:jc w:val="both"/>
        <w:rPr>
          <w:rFonts w:eastAsia="Times New Roman"/>
        </w:rPr>
      </w:pPr>
    </w:p>
    <w:p w:rsidR="00402C19" w:rsidRDefault="00402C19" w:rsidP="00402C19">
      <w:pPr>
        <w:rPr>
          <w:b/>
        </w:rPr>
      </w:pPr>
    </w:p>
    <w:p w:rsidR="00402C19" w:rsidRPr="003C4B3F" w:rsidRDefault="00402C19" w:rsidP="00402C19">
      <w:pPr>
        <w:rPr>
          <w:b/>
        </w:rPr>
      </w:pPr>
      <w:r w:rsidRPr="003C4B3F">
        <w:rPr>
          <w:b/>
        </w:rPr>
        <w:t>Visitor Days</w:t>
      </w:r>
    </w:p>
    <w:p w:rsidR="005464F7" w:rsidRDefault="00402C19" w:rsidP="00402C19">
      <w:r w:rsidRPr="003C4B3F">
        <w:t xml:space="preserve">All families are welcome to make an informal visit to the school to see our facilities, ask any relevant questions and to gain an understanding of our educational approach. Visitor days are held regularly throughout the year at our different sites. </w:t>
      </w:r>
    </w:p>
    <w:p w:rsidR="005464F7" w:rsidRDefault="005464F7">
      <w:r>
        <w:br w:type="page"/>
      </w:r>
    </w:p>
    <w:p w:rsidR="00402C19" w:rsidRPr="003C4B3F" w:rsidRDefault="00402C19" w:rsidP="00402C19">
      <w:r w:rsidRPr="003C4B3F">
        <w:lastRenderedPageBreak/>
        <w:t>Parents/carers can book onto a session convenient to them by co</w:t>
      </w:r>
      <w:r w:rsidR="005464F7">
        <w:t>ntacting the office directly on</w:t>
      </w:r>
    </w:p>
    <w:p w:rsidR="00402C19" w:rsidRDefault="00402C19" w:rsidP="00402C19">
      <w:r w:rsidRPr="003C4B3F">
        <w:t>0161 778 0022</w:t>
      </w:r>
      <w:r>
        <w:t>:</w:t>
      </w:r>
    </w:p>
    <w:p w:rsidR="005464F7" w:rsidRDefault="005464F7" w:rsidP="00402C19"/>
    <w:p w:rsidR="005464F7" w:rsidRDefault="00402C19" w:rsidP="00402C19">
      <w:r w:rsidRPr="003C4B3F">
        <w:t xml:space="preserve">Swinton </w:t>
      </w:r>
      <w:r>
        <w:t>– Option 1</w:t>
      </w:r>
      <w:r w:rsidRPr="003C4B3F">
        <w:tab/>
      </w:r>
    </w:p>
    <w:p w:rsidR="00402C19" w:rsidRPr="003C4B3F" w:rsidRDefault="00402C19" w:rsidP="00402C19">
      <w:r w:rsidRPr="003C4B3F">
        <w:tab/>
      </w:r>
      <w:r w:rsidRPr="003C4B3F">
        <w:tab/>
      </w:r>
      <w:r w:rsidRPr="003C4B3F">
        <w:tab/>
      </w:r>
      <w:r w:rsidRPr="003C4B3F">
        <w:tab/>
      </w:r>
      <w:r w:rsidRPr="003C4B3F">
        <w:tab/>
      </w:r>
    </w:p>
    <w:p w:rsidR="00402C19" w:rsidRDefault="00402C19" w:rsidP="00402C19">
      <w:r w:rsidRPr="003C4B3F">
        <w:t>Craig Hall</w:t>
      </w:r>
      <w:r>
        <w:t xml:space="preserve"> – Option 2</w:t>
      </w:r>
      <w:r w:rsidRPr="003C4B3F">
        <w:tab/>
      </w:r>
      <w:r w:rsidRPr="003C4B3F">
        <w:tab/>
      </w:r>
      <w:r w:rsidRPr="003C4B3F">
        <w:tab/>
      </w:r>
      <w:r w:rsidRPr="003C4B3F">
        <w:tab/>
      </w:r>
      <w:r w:rsidRPr="003C4B3F">
        <w:tab/>
      </w:r>
    </w:p>
    <w:p w:rsidR="005464F7" w:rsidRPr="003C4B3F" w:rsidRDefault="005464F7" w:rsidP="00402C19"/>
    <w:p w:rsidR="00402C19" w:rsidRDefault="00402C19" w:rsidP="00402C19">
      <w:r w:rsidRPr="003C4B3F">
        <w:t xml:space="preserve">Families are also actively encouraged to visit our school website, where further school information and upcoming visitor dates can be found. </w:t>
      </w:r>
    </w:p>
    <w:p w:rsidR="005464F7" w:rsidRDefault="005464F7" w:rsidP="00402C19"/>
    <w:p w:rsidR="005464F7" w:rsidRPr="0091749E" w:rsidRDefault="005464F7" w:rsidP="00402C19"/>
    <w:p w:rsidR="00402C19" w:rsidRDefault="00402C19" w:rsidP="00402C19">
      <w:pPr>
        <w:rPr>
          <w:b/>
        </w:rPr>
      </w:pPr>
      <w:r w:rsidRPr="003C4B3F">
        <w:rPr>
          <w:b/>
        </w:rPr>
        <w:t>Transition</w:t>
      </w:r>
    </w:p>
    <w:p w:rsidR="005464F7" w:rsidRPr="003C4B3F" w:rsidRDefault="005464F7" w:rsidP="00402C19">
      <w:pPr>
        <w:rPr>
          <w:b/>
        </w:rPr>
      </w:pPr>
    </w:p>
    <w:p w:rsidR="00402C19" w:rsidRPr="003C4B3F" w:rsidRDefault="00402C19" w:rsidP="00402C19">
      <w:pPr>
        <w:rPr>
          <w:rFonts w:eastAsia="Times New Roman"/>
        </w:rPr>
      </w:pPr>
      <w:r w:rsidRPr="003C4B3F">
        <w:t xml:space="preserve">Once a school place has been offered by the LA, a member of Springwood staff will make contact with parents/carers to make arrangements to support a successful transition into school. </w:t>
      </w:r>
      <w:r w:rsidRPr="003C4B3F">
        <w:rPr>
          <w:rFonts w:eastAsia="Calibri"/>
        </w:rPr>
        <w:t>We</w:t>
      </w:r>
      <w:r w:rsidRPr="003C4B3F">
        <w:rPr>
          <w:rFonts w:eastAsia="Times New Roman"/>
        </w:rPr>
        <w:t xml:space="preserve"> </w:t>
      </w:r>
      <w:r w:rsidRPr="003C4B3F">
        <w:rPr>
          <w:rFonts w:eastAsia="Calibri"/>
        </w:rPr>
        <w:t>recognise</w:t>
      </w:r>
      <w:r w:rsidRPr="003C4B3F">
        <w:rPr>
          <w:rFonts w:eastAsia="Times New Roman"/>
        </w:rPr>
        <w:t xml:space="preserve"> </w:t>
      </w:r>
      <w:r w:rsidRPr="003C4B3F">
        <w:rPr>
          <w:rFonts w:eastAsia="Calibri"/>
        </w:rPr>
        <w:t>each</w:t>
      </w:r>
      <w:r w:rsidRPr="003C4B3F">
        <w:rPr>
          <w:rFonts w:eastAsia="Times New Roman"/>
        </w:rPr>
        <w:t xml:space="preserve"> </w:t>
      </w:r>
      <w:r w:rsidRPr="003C4B3F">
        <w:rPr>
          <w:rFonts w:eastAsia="Calibri"/>
        </w:rPr>
        <w:t>child</w:t>
      </w:r>
      <w:r w:rsidRPr="003C4B3F">
        <w:rPr>
          <w:rFonts w:eastAsia="Times New Roman"/>
        </w:rPr>
        <w:t xml:space="preserve"> </w:t>
      </w:r>
      <w:r w:rsidRPr="003C4B3F">
        <w:rPr>
          <w:rFonts w:eastAsia="Calibri"/>
        </w:rPr>
        <w:t>and</w:t>
      </w:r>
      <w:r w:rsidRPr="003C4B3F">
        <w:rPr>
          <w:rFonts w:eastAsia="Times New Roman"/>
        </w:rPr>
        <w:t xml:space="preserve"> </w:t>
      </w:r>
      <w:r w:rsidRPr="003C4B3F">
        <w:rPr>
          <w:rFonts w:eastAsia="Calibri"/>
        </w:rPr>
        <w:t>their</w:t>
      </w:r>
      <w:r w:rsidRPr="003C4B3F">
        <w:rPr>
          <w:rFonts w:eastAsia="Times New Roman"/>
        </w:rPr>
        <w:t xml:space="preserve"> </w:t>
      </w:r>
      <w:r w:rsidRPr="003C4B3F">
        <w:rPr>
          <w:rFonts w:eastAsia="Calibri"/>
        </w:rPr>
        <w:t>family</w:t>
      </w:r>
      <w:r w:rsidRPr="003C4B3F">
        <w:rPr>
          <w:rFonts w:eastAsia="Times New Roman"/>
        </w:rPr>
        <w:t xml:space="preserve"> </w:t>
      </w:r>
      <w:r w:rsidRPr="003C4B3F">
        <w:rPr>
          <w:rFonts w:eastAsia="Calibri"/>
        </w:rPr>
        <w:t>have</w:t>
      </w:r>
      <w:r w:rsidRPr="003C4B3F">
        <w:rPr>
          <w:rFonts w:eastAsia="Times New Roman"/>
        </w:rPr>
        <w:t xml:space="preserve"> </w:t>
      </w:r>
      <w:r w:rsidRPr="003C4B3F">
        <w:rPr>
          <w:rFonts w:eastAsia="Calibri"/>
        </w:rPr>
        <w:t>individual</w:t>
      </w:r>
      <w:r w:rsidRPr="003C4B3F">
        <w:rPr>
          <w:rFonts w:eastAsia="Times New Roman"/>
        </w:rPr>
        <w:t xml:space="preserve"> </w:t>
      </w:r>
      <w:r w:rsidRPr="003C4B3F">
        <w:rPr>
          <w:rFonts w:eastAsia="Calibri"/>
        </w:rPr>
        <w:t>needs</w:t>
      </w:r>
      <w:r w:rsidRPr="003C4B3F">
        <w:rPr>
          <w:rFonts w:eastAsia="Times New Roman"/>
        </w:rPr>
        <w:t xml:space="preserve"> </w:t>
      </w:r>
      <w:r w:rsidRPr="003C4B3F">
        <w:rPr>
          <w:rFonts w:eastAsia="Calibri"/>
        </w:rPr>
        <w:t>so</w:t>
      </w:r>
      <w:r w:rsidRPr="003C4B3F">
        <w:rPr>
          <w:rFonts w:eastAsia="Times New Roman"/>
        </w:rPr>
        <w:t xml:space="preserve"> </w:t>
      </w:r>
      <w:r w:rsidRPr="003C4B3F">
        <w:rPr>
          <w:rFonts w:eastAsia="Calibri"/>
        </w:rPr>
        <w:t>the</w:t>
      </w:r>
      <w:r w:rsidRPr="003C4B3F">
        <w:rPr>
          <w:rFonts w:eastAsia="Times New Roman"/>
        </w:rPr>
        <w:t xml:space="preserve"> </w:t>
      </w:r>
      <w:r w:rsidRPr="003C4B3F">
        <w:rPr>
          <w:rFonts w:eastAsia="Calibri"/>
        </w:rPr>
        <w:t>transition</w:t>
      </w:r>
      <w:r w:rsidRPr="003C4B3F">
        <w:rPr>
          <w:rFonts w:eastAsia="Times New Roman"/>
        </w:rPr>
        <w:t xml:space="preserve"> </w:t>
      </w:r>
      <w:r w:rsidRPr="003C4B3F">
        <w:rPr>
          <w:rFonts w:eastAsia="Calibri"/>
        </w:rPr>
        <w:t>arrangements</w:t>
      </w:r>
      <w:r w:rsidRPr="003C4B3F">
        <w:rPr>
          <w:rFonts w:eastAsia="Times New Roman"/>
        </w:rPr>
        <w:t xml:space="preserve"> </w:t>
      </w:r>
      <w:r w:rsidRPr="003C4B3F">
        <w:rPr>
          <w:rFonts w:eastAsia="Calibri"/>
        </w:rPr>
        <w:t>will</w:t>
      </w:r>
      <w:r w:rsidRPr="003C4B3F">
        <w:rPr>
          <w:rFonts w:eastAsia="Times New Roman"/>
        </w:rPr>
        <w:t xml:space="preserve"> </w:t>
      </w:r>
      <w:r w:rsidRPr="003C4B3F">
        <w:rPr>
          <w:rFonts w:eastAsia="Calibri"/>
        </w:rPr>
        <w:t>reflect</w:t>
      </w:r>
      <w:r w:rsidRPr="003C4B3F">
        <w:rPr>
          <w:rFonts w:eastAsia="Times New Roman"/>
        </w:rPr>
        <w:t xml:space="preserve"> </w:t>
      </w:r>
      <w:r w:rsidRPr="003C4B3F">
        <w:rPr>
          <w:rFonts w:eastAsia="Calibri"/>
        </w:rPr>
        <w:t>this</w:t>
      </w:r>
      <w:r w:rsidRPr="003C4B3F">
        <w:rPr>
          <w:rFonts w:eastAsia="Times New Roman"/>
        </w:rPr>
        <w:t>.</w:t>
      </w:r>
    </w:p>
    <w:p w:rsidR="00402C19" w:rsidRPr="003C4B3F" w:rsidRDefault="00402C19" w:rsidP="00402C19">
      <w:pPr>
        <w:rPr>
          <w:rFonts w:eastAsia="Times New Roman"/>
        </w:rPr>
      </w:pPr>
    </w:p>
    <w:p w:rsidR="00402C19" w:rsidRDefault="00402C19" w:rsidP="00402C19">
      <w:pPr>
        <w:rPr>
          <w:rFonts w:eastAsia="Times New Roman"/>
        </w:rPr>
      </w:pPr>
      <w:r w:rsidRPr="003C4B3F">
        <w:rPr>
          <w:rFonts w:eastAsia="Calibri"/>
        </w:rPr>
        <w:t>The</w:t>
      </w:r>
      <w:r w:rsidRPr="003C4B3F">
        <w:rPr>
          <w:rFonts w:eastAsia="Times New Roman"/>
        </w:rPr>
        <w:t xml:space="preserve"> </w:t>
      </w:r>
      <w:r w:rsidRPr="003C4B3F">
        <w:rPr>
          <w:rFonts w:eastAsia="Calibri"/>
        </w:rPr>
        <w:t>following</w:t>
      </w:r>
      <w:r w:rsidRPr="003C4B3F">
        <w:rPr>
          <w:rFonts w:eastAsia="Times New Roman"/>
        </w:rPr>
        <w:t xml:space="preserve"> </w:t>
      </w:r>
      <w:r w:rsidRPr="003C4B3F">
        <w:rPr>
          <w:rFonts w:eastAsia="Calibri"/>
        </w:rPr>
        <w:t>guidelines, which should be read in conjunction with our school’s Transition Policy,</w:t>
      </w:r>
      <w:r w:rsidRPr="003C4B3F">
        <w:rPr>
          <w:rFonts w:eastAsia="Times New Roman"/>
        </w:rPr>
        <w:t xml:space="preserve"> </w:t>
      </w:r>
      <w:r w:rsidRPr="003C4B3F">
        <w:rPr>
          <w:rFonts w:eastAsia="Calibri"/>
        </w:rPr>
        <w:t>are</w:t>
      </w:r>
      <w:r w:rsidRPr="003C4B3F">
        <w:rPr>
          <w:rFonts w:eastAsia="Times New Roman"/>
        </w:rPr>
        <w:t xml:space="preserve"> </w:t>
      </w:r>
      <w:r w:rsidRPr="003C4B3F">
        <w:rPr>
          <w:rFonts w:eastAsia="Calibri"/>
        </w:rPr>
        <w:t>used</w:t>
      </w:r>
      <w:r w:rsidRPr="003C4B3F">
        <w:rPr>
          <w:rFonts w:eastAsia="Times New Roman"/>
        </w:rPr>
        <w:t xml:space="preserve"> </w:t>
      </w:r>
      <w:r w:rsidRPr="003C4B3F">
        <w:rPr>
          <w:rFonts w:eastAsia="Calibri"/>
        </w:rPr>
        <w:t>to</w:t>
      </w:r>
      <w:r w:rsidRPr="003C4B3F">
        <w:rPr>
          <w:rFonts w:eastAsia="Times New Roman"/>
        </w:rPr>
        <w:t xml:space="preserve"> </w:t>
      </w:r>
      <w:r w:rsidRPr="003C4B3F">
        <w:rPr>
          <w:rFonts w:eastAsia="Calibri"/>
        </w:rPr>
        <w:t>help</w:t>
      </w:r>
      <w:r w:rsidRPr="003C4B3F">
        <w:rPr>
          <w:rFonts w:eastAsia="Times New Roman"/>
        </w:rPr>
        <w:t xml:space="preserve"> </w:t>
      </w:r>
      <w:r w:rsidRPr="003C4B3F">
        <w:rPr>
          <w:rFonts w:eastAsia="Calibri"/>
        </w:rPr>
        <w:t>children</w:t>
      </w:r>
      <w:r w:rsidRPr="003C4B3F">
        <w:rPr>
          <w:rFonts w:eastAsia="Times New Roman"/>
        </w:rPr>
        <w:t xml:space="preserve"> </w:t>
      </w:r>
      <w:r>
        <w:rPr>
          <w:rFonts w:eastAsia="Calibri"/>
        </w:rPr>
        <w:t>enjoy a safe, successful</w:t>
      </w:r>
      <w:r w:rsidRPr="003C4B3F">
        <w:rPr>
          <w:rFonts w:eastAsia="Calibri"/>
        </w:rPr>
        <w:t xml:space="preserve"> and positive admission</w:t>
      </w:r>
      <w:r w:rsidRPr="003C4B3F">
        <w:rPr>
          <w:rFonts w:eastAsia="Times New Roman"/>
        </w:rPr>
        <w:t xml:space="preserve"> </w:t>
      </w:r>
      <w:r w:rsidRPr="003C4B3F">
        <w:rPr>
          <w:rFonts w:eastAsia="Calibri"/>
        </w:rPr>
        <w:t>into</w:t>
      </w:r>
      <w:r w:rsidRPr="003C4B3F">
        <w:rPr>
          <w:rFonts w:eastAsia="Times New Roman"/>
        </w:rPr>
        <w:t xml:space="preserve"> </w:t>
      </w:r>
      <w:r w:rsidRPr="003C4B3F">
        <w:rPr>
          <w:rFonts w:eastAsia="Calibri"/>
        </w:rPr>
        <w:t>Springwood</w:t>
      </w:r>
      <w:r w:rsidRPr="003C4B3F">
        <w:rPr>
          <w:rFonts w:eastAsia="Times New Roman"/>
        </w:rPr>
        <w:t xml:space="preserve"> Primary </w:t>
      </w:r>
      <w:r w:rsidRPr="003C4B3F">
        <w:rPr>
          <w:rFonts w:eastAsia="Calibri"/>
        </w:rPr>
        <w:t>School</w:t>
      </w:r>
      <w:r w:rsidRPr="003C4B3F">
        <w:rPr>
          <w:rFonts w:eastAsia="Times New Roman"/>
        </w:rPr>
        <w:t>:</w:t>
      </w:r>
    </w:p>
    <w:p w:rsidR="00402C19" w:rsidRDefault="00402C19" w:rsidP="00402C19">
      <w:pPr>
        <w:rPr>
          <w:rFonts w:eastAsia="Times New Roman"/>
        </w:rPr>
      </w:pPr>
    </w:p>
    <w:p w:rsidR="00402C19" w:rsidRPr="003C4B3F" w:rsidRDefault="00402C19" w:rsidP="00402C19">
      <w:pPr>
        <w:rPr>
          <w:rFonts w:eastAsia="Times New Roman"/>
        </w:rPr>
      </w:pPr>
    </w:p>
    <w:p w:rsidR="00402C19" w:rsidRPr="003C4B3F" w:rsidRDefault="006D6E14" w:rsidP="00402C19">
      <w:pPr>
        <w:rPr>
          <w:rFonts w:eastAsia="Times New Roman"/>
        </w:rPr>
      </w:pPr>
      <w:r>
        <w:rPr>
          <w:rFonts w:eastAsia="Times New Roman"/>
          <w:noProof/>
          <w:lang w:eastAsia="en-GB"/>
        </w:rPr>
        <w:drawing>
          <wp:inline distT="0" distB="0" distL="0" distR="0" wp14:anchorId="1ADD2D94" wp14:editId="15B61DAC">
            <wp:extent cx="5487035" cy="3230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230880"/>
                    </a:xfrm>
                    <a:prstGeom prst="rect">
                      <a:avLst/>
                    </a:prstGeom>
                    <a:noFill/>
                  </pic:spPr>
                </pic:pic>
              </a:graphicData>
            </a:graphic>
          </wp:inline>
        </w:drawing>
      </w:r>
    </w:p>
    <w:p w:rsidR="00402C19" w:rsidRDefault="00402C19" w:rsidP="00402C19">
      <w:pPr>
        <w:rPr>
          <w:rFonts w:eastAsia="Calibri"/>
        </w:rPr>
      </w:pPr>
    </w:p>
    <w:p w:rsidR="00402C19" w:rsidRPr="003C4B3F" w:rsidRDefault="00402C19" w:rsidP="00402C19">
      <w:pPr>
        <w:rPr>
          <w:rFonts w:eastAsia="Times New Roman"/>
        </w:rPr>
      </w:pPr>
    </w:p>
    <w:p w:rsidR="00402C19" w:rsidRPr="003C4B3F" w:rsidRDefault="00402C19" w:rsidP="00402C19">
      <w:pPr>
        <w:rPr>
          <w:rFonts w:eastAsia="Times New Roman"/>
        </w:rPr>
      </w:pPr>
    </w:p>
    <w:p w:rsidR="00402C19" w:rsidRDefault="00402C19" w:rsidP="00402C19">
      <w:pPr>
        <w:tabs>
          <w:tab w:val="left" w:pos="1810"/>
        </w:tabs>
        <w:rPr>
          <w:b/>
        </w:rPr>
      </w:pPr>
      <w:r w:rsidRPr="003C4B3F">
        <w:rPr>
          <w:b/>
        </w:rPr>
        <w:t>Monitoring</w:t>
      </w:r>
      <w:r>
        <w:rPr>
          <w:b/>
        </w:rPr>
        <w:t xml:space="preserve"> and Review</w:t>
      </w:r>
    </w:p>
    <w:p w:rsidR="005464F7" w:rsidRPr="003C4B3F" w:rsidRDefault="005464F7" w:rsidP="00402C19">
      <w:pPr>
        <w:tabs>
          <w:tab w:val="left" w:pos="1810"/>
        </w:tabs>
        <w:rPr>
          <w:b/>
        </w:rPr>
      </w:pPr>
    </w:p>
    <w:p w:rsidR="00402C19" w:rsidRPr="003C4B3F" w:rsidRDefault="00402C19" w:rsidP="00402C19">
      <w:pPr>
        <w:tabs>
          <w:tab w:val="left" w:pos="1810"/>
        </w:tabs>
      </w:pPr>
      <w:r w:rsidRPr="003C4B3F">
        <w:t>Pupils</w:t>
      </w:r>
      <w:r w:rsidR="00961B80">
        <w:t>’</w:t>
      </w:r>
      <w:r w:rsidRPr="003C4B3F">
        <w:t xml:space="preserve"> EHCPs are monitored and reviewed </w:t>
      </w:r>
      <w:r>
        <w:t>every six months up until the age of five and then annually thereafter. P</w:t>
      </w:r>
      <w:r w:rsidRPr="003C4B3F">
        <w:t>arents/carers and any professionals involved with the pupil</w:t>
      </w:r>
      <w:r>
        <w:t xml:space="preserve"> will be invited to an</w:t>
      </w:r>
      <w:r w:rsidRPr="003C4B3F">
        <w:t xml:space="preserve"> Annual Review</w:t>
      </w:r>
      <w:r>
        <w:t>,</w:t>
      </w:r>
      <w:r w:rsidRPr="003C4B3F">
        <w:t xml:space="preserve"> during which </w:t>
      </w:r>
      <w:r>
        <w:t xml:space="preserve">discussions on </w:t>
      </w:r>
      <w:r w:rsidRPr="003C4B3F">
        <w:t xml:space="preserve">progress, suitability of provision and target setting will take place. Any proposed requests for additional support or change of placement requests are sent to the LA SEND Panel for consideration. The LA will be required to inform the school of their decision before any changes can be implemented. </w:t>
      </w:r>
      <w:r>
        <w:t xml:space="preserve">Where no changes are required, a ‘No Change in Placement’ notification will be issued by the LA. </w:t>
      </w:r>
    </w:p>
    <w:p w:rsidR="00402C19" w:rsidRPr="003C4B3F" w:rsidRDefault="00402C19" w:rsidP="00402C19"/>
    <w:p w:rsidR="00CC3BAC" w:rsidRPr="00CC3BAC" w:rsidRDefault="00CC3BAC" w:rsidP="00CC3BAC"/>
    <w:sectPr w:rsidR="00CC3BAC" w:rsidRPr="00CC3BAC" w:rsidSect="00402C19">
      <w:footerReference w:type="default" r:id="rId11"/>
      <w:footerReference w:type="first" r:id="rId12"/>
      <w:pgSz w:w="11906" w:h="16838" w:code="9"/>
      <w:pgMar w:top="720" w:right="720" w:bottom="720" w:left="720" w:header="0" w:footer="57" w:gutter="0"/>
      <w:pgBorders w:display="firstPage" w:offsetFrom="page">
        <w:top w:val="single" w:sz="24" w:space="24" w:color="2451A4"/>
        <w:left w:val="single" w:sz="24" w:space="24" w:color="2451A4"/>
        <w:bottom w:val="single" w:sz="24" w:space="24" w:color="2451A4"/>
        <w:right w:val="single" w:sz="24" w:space="24" w:color="2451A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0EB" w:rsidRDefault="009C50EB" w:rsidP="0074482F">
      <w:r>
        <w:separator/>
      </w:r>
    </w:p>
  </w:endnote>
  <w:endnote w:type="continuationSeparator" w:id="0">
    <w:p w:rsidR="009C50EB" w:rsidRDefault="009C50EB" w:rsidP="007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2F" w:rsidRDefault="000878CC">
    <w:pPr>
      <w:pStyle w:val="Footer"/>
    </w:pPr>
    <w:r>
      <w:rPr>
        <w:noProof/>
        <w:lang w:eastAsia="en-GB"/>
      </w:rPr>
      <mc:AlternateContent>
        <mc:Choice Requires="wps">
          <w:drawing>
            <wp:anchor distT="0" distB="0" distL="114300" distR="114300" simplePos="0" relativeHeight="251662336" behindDoc="0" locked="0" layoutInCell="1" allowOverlap="1" wp14:anchorId="1D297D82" wp14:editId="6A9DF521">
              <wp:simplePos x="0" y="0"/>
              <wp:positionH relativeFrom="rightMargin">
                <wp:posOffset>-1800225</wp:posOffset>
              </wp:positionH>
              <wp:positionV relativeFrom="bottomMargin">
                <wp:posOffset>720090</wp:posOffset>
              </wp:positionV>
              <wp:extent cx="1803600" cy="216000"/>
              <wp:effectExtent l="0" t="0" r="0" b="0"/>
              <wp:wrapNone/>
              <wp:docPr id="511124271" name="Text Box 2"/>
              <wp:cNvGraphicFramePr/>
              <a:graphic xmlns:a="http://schemas.openxmlformats.org/drawingml/2006/main">
                <a:graphicData uri="http://schemas.microsoft.com/office/word/2010/wordprocessingShape">
                  <wps:wsp>
                    <wps:cNvSpPr txBox="1"/>
                    <wps:spPr>
                      <a:xfrm>
                        <a:off x="0" y="0"/>
                        <a:ext cx="1803600" cy="216000"/>
                      </a:xfrm>
                      <a:prstGeom prst="rect">
                        <a:avLst/>
                      </a:prstGeom>
                      <a:noFill/>
                      <a:ln w="6350">
                        <a:noFill/>
                      </a:ln>
                    </wps:spPr>
                    <wps:txbx>
                      <w:txbxContent>
                        <w:p w:rsidR="000878CC" w:rsidRPr="0074482F" w:rsidRDefault="000878CC" w:rsidP="000878CC">
                          <w:pPr>
                            <w:jc w:val="right"/>
                            <w:rPr>
                              <w:color w:val="FFFFFF" w:themeColor="background1"/>
                              <w:sz w:val="16"/>
                              <w:szCs w:val="16"/>
                            </w:rPr>
                          </w:pPr>
                          <w:r w:rsidRPr="0074482F">
                            <w:rPr>
                              <w:color w:val="FFFFFF" w:themeColor="background1"/>
                              <w:sz w:val="16"/>
                              <w:szCs w:val="16"/>
                            </w:rPr>
                            <w:t>www.thelinkeducationtrust.co.uk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97D82" id="_x0000_t202" coordsize="21600,21600" o:spt="202" path="m,l,21600r21600,l21600,xe">
              <v:stroke joinstyle="miter"/>
              <v:path gradientshapeok="t" o:connecttype="rect"/>
            </v:shapetype>
            <v:shape id="Text Box 2" o:spid="_x0000_s1026" type="#_x0000_t202" style="position:absolute;margin-left:-141.75pt;margin-top:56.7pt;width:142pt;height:17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6pMQIAAFkEAAAOAAAAZHJzL2Uyb0RvYy54bWysVFtv2jAUfp+0/2D5feRSoC0iVKwV0yTU&#10;VoKpz8axSaTYx7MNCfv1O3YCRd2epr04x+d+vu8484dONeQorKtBFzQbpZQIzaGs9b6gP7arL3eU&#10;OM90yRrQoqAn4ejD4vOneWtmIocKmlJYgkm0m7WmoJX3ZpYkjldCMTcCIzQaJVjFPF7tPiktazG7&#10;apI8TadJC7Y0FrhwDrVPvZEuYn4pBfcvUjrhSVNQ7M3H08ZzF85kMWezvWWmqvnQBvuHLhSrNRa9&#10;pHpinpGDrf9IpWpuwYH0Iw4qASlrLuIMOE2WfphmUzEj4iwIjjMXmNz/S8ufj6+W1GVBJ1mW5eP8&#10;NqNEM4VUbUXnyVfoSB5Qao2bofPGoLvvUI1sn/UOlWH4TloVvjgWQTvifbpgHJLxEHSX3kxTNHG0&#10;5RmKkYTkPdpY578JUCQIBbXIYYSWHdfOYyfoenYJxTSs6qaJPDaatAWd3kzSGHCxYESjMTDM0Pca&#10;JN/tumGwHZQnnMtCvx/O8FWNxdfM+VdmcSGwX1xy/4KHbACLwCBRUoH99Td98Eee0EpJiwtWUPfz&#10;wKygpPmukcH7bDwOGxkv48ltjhd7bdldW/RBPQLuMLKD3UUx+PvmLEoL6g3fwjJURRPTHGsX1J/F&#10;R9+vPb4lLpbL6IQ7aJhf643hIXWAM0C77d6YNQP+Hpl7hvMqstkHGnrfnojlwYOsI0cB4B7VAXfc&#10;30jd8NbCA7m+R6/3P8LiNwAAAP//AwBQSwMEFAAGAAgAAAAhAIRnDSffAAAACQEAAA8AAABkcnMv&#10;ZG93bnJldi54bWxMj0FLw0AQhe+C/2EZwVu7aZpqiNmUEiiC6KG1F2+T7DYJZmdjdttGf73jqR4f&#10;7+PNN/l6sr04m9F3jhQs5hEIQ7XTHTUKDu/bWQrCBySNvSOj4Nt4WBe3Nzlm2l1oZ8770AgeIZ+h&#10;gjaEIZPS162x6OduMMTd0Y0WA8exkXrEC4/bXsZR9CAtdsQXWhxM2Zr6c3+yCl7K7RvuqtimP335&#10;/HrcDF+Hj5VS93fT5glEMFO4wvCnz+pQsFPlTqS96BXM4nS5YpabxTIBwQjHimPymIAscvn/g+IX&#10;AAD//wMAUEsBAi0AFAAGAAgAAAAhALaDOJL+AAAA4QEAABMAAAAAAAAAAAAAAAAAAAAAAFtDb250&#10;ZW50X1R5cGVzXS54bWxQSwECLQAUAAYACAAAACEAOP0h/9YAAACUAQAACwAAAAAAAAAAAAAAAAAv&#10;AQAAX3JlbHMvLnJlbHNQSwECLQAUAAYACAAAACEAQND+qTECAABZBAAADgAAAAAAAAAAAAAAAAAu&#10;AgAAZHJzL2Uyb0RvYy54bWxQSwECLQAUAAYACAAAACEAhGcNJ98AAAAJAQAADwAAAAAAAAAAAAAA&#10;AACLBAAAZHJzL2Rvd25yZXYueG1sUEsFBgAAAAAEAAQA8wAAAJcFAAAAAA==&#10;" filled="f" stroked="f" strokeweight=".5pt">
              <v:textbox>
                <w:txbxContent>
                  <w:p w:rsidR="000878CC" w:rsidRPr="0074482F" w:rsidRDefault="000878CC" w:rsidP="000878CC">
                    <w:pPr>
                      <w:jc w:val="right"/>
                      <w:rPr>
                        <w:color w:val="FFFFFF" w:themeColor="background1"/>
                        <w:sz w:val="16"/>
                        <w:szCs w:val="16"/>
                      </w:rPr>
                    </w:pPr>
                    <w:r w:rsidRPr="0074482F">
                      <w:rPr>
                        <w:color w:val="FFFFFF" w:themeColor="background1"/>
                        <w:sz w:val="16"/>
                        <w:szCs w:val="16"/>
                      </w:rPr>
                      <w:t>www.thelinkeducationtrust.co.uk</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AC" w:rsidRDefault="007517A5" w:rsidP="00CC3BAC">
    <w:pPr>
      <w:pStyle w:val="Footer"/>
    </w:pPr>
    <w:r>
      <w:rPr>
        <w:noProof/>
        <w:lang w:eastAsia="en-GB"/>
      </w:rPr>
      <mc:AlternateContent>
        <mc:Choice Requires="wps">
          <w:drawing>
            <wp:anchor distT="0" distB="0" distL="114300" distR="114300" simplePos="0" relativeHeight="251659264" behindDoc="0" locked="0" layoutInCell="1" allowOverlap="1" wp14:anchorId="0EBA6863" wp14:editId="4D019D0C">
              <wp:simplePos x="0" y="0"/>
              <wp:positionH relativeFrom="rightMargin">
                <wp:posOffset>-1800225</wp:posOffset>
              </wp:positionH>
              <wp:positionV relativeFrom="bottomMargin">
                <wp:posOffset>729615</wp:posOffset>
              </wp:positionV>
              <wp:extent cx="1803600" cy="216000"/>
              <wp:effectExtent l="0" t="0" r="0" b="0"/>
              <wp:wrapNone/>
              <wp:docPr id="1587135162" name="Text Box 2"/>
              <wp:cNvGraphicFramePr/>
              <a:graphic xmlns:a="http://schemas.openxmlformats.org/drawingml/2006/main">
                <a:graphicData uri="http://schemas.microsoft.com/office/word/2010/wordprocessingShape">
                  <wps:wsp>
                    <wps:cNvSpPr txBox="1"/>
                    <wps:spPr>
                      <a:xfrm>
                        <a:off x="0" y="0"/>
                        <a:ext cx="1803600" cy="216000"/>
                      </a:xfrm>
                      <a:prstGeom prst="rect">
                        <a:avLst/>
                      </a:prstGeom>
                      <a:noFill/>
                      <a:ln w="6350">
                        <a:noFill/>
                      </a:ln>
                    </wps:spPr>
                    <wps:txbx>
                      <w:txbxContent>
                        <w:p w:rsidR="007517A5" w:rsidRPr="0074482F" w:rsidRDefault="007517A5" w:rsidP="0074482F">
                          <w:pPr>
                            <w:jc w:val="right"/>
                            <w:rPr>
                              <w:color w:val="FFFFFF" w:themeColor="background1"/>
                              <w:sz w:val="16"/>
                              <w:szCs w:val="16"/>
                            </w:rPr>
                          </w:pPr>
                          <w:r w:rsidRPr="0074482F">
                            <w:rPr>
                              <w:color w:val="FFFFFF" w:themeColor="background1"/>
                              <w:sz w:val="16"/>
                              <w:szCs w:val="16"/>
                            </w:rPr>
                            <w:t>www.thelinkeducationtrust.co.uk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A6863" id="_x0000_t202" coordsize="21600,21600" o:spt="202" path="m,l,21600r21600,l21600,xe">
              <v:stroke joinstyle="miter"/>
              <v:path gradientshapeok="t" o:connecttype="rect"/>
            </v:shapetype>
            <v:shape id="_x0000_s1027" type="#_x0000_t202" style="position:absolute;margin-left:-141.75pt;margin-top:57.45pt;width:142pt;height:1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ANAIAAGEEAAAOAAAAZHJzL2Uyb0RvYy54bWysVMlu2zAQvRfoPxC811q8xBEsB24CFwWM&#10;JIBd5ExTlCWA4rAkbcn9+g4pyzHSnopeqCFnf29Gi4eukeQkjK1B5TQZxZQIxaGo1SGnP3brL3NK&#10;rGOqYBKUyOlZWPqw/Pxp0epMpFCBLIQhGETZrNU5rZzTWRRZXomG2RFooVBZgmmYw6s5RIVhLUZv&#10;ZJTG8SxqwRTaABfW4utTr6TLEL8sBXcvZWmFIzKnWJsLpwnn3p/RcsGyg2G6qvmlDPYPVTSsVpj0&#10;GuqJOUaOpv4jVFNzAxZKN+LQRFCWNRehB+wmiT90s62YFqEXBMfqK0z2/4Xlz6dXQ+oCuZvO75Lx&#10;NJmllCjWIFc70TnyFTqSephabTO03mq0dx0+o8vwbvHRd9+VpvFf7IugHgE/X0H2wbh3msfjWYwq&#10;jro0QTGwEL17a2PdNwEN8UJODZIYsGWnjXVYCZoOJj6ZgnUtZSBSKtLmdDaexsHhqkEPqdDR99DX&#10;6iXX7bu+9aGPPRRnbM9APydW83WNNWyYda/M4GBg2Tjs7gWPUgLmgotESQXm19/evT3yhVpKWhy0&#10;nNqfR2YEJfK7Qibvk8nET2a4TKZ3KV7MrWZ/q1HH5hFwlhNcK82D6O2dHMTSQPOGO7HyWVHFFMfc&#10;OXWD+Oj68ced4mK1CkY4i5q5jdpq7kN7VD3Cu+6NGX2hwSGBzzCMJMs+sNHb9nysjg7KOlDlce5R&#10;vcCPcxwYvOycX5Tbe7B6/zMsfwMAAP//AwBQSwMEFAAGAAgAAAAhAD5wGCbfAAAACQEAAA8AAABk&#10;cnMvZG93bnJldi54bWxMj0FPwkAQhe8m/ofNmHiDLRVMKd0S0oSYGD2AXLxNu0vb0J2t3QWqv97x&#10;hMeX9+XNN9l6tJ24mMG3jhTMphEIQ5XTLdUKDh/bSQLCBySNnSOj4Nt4WOf3dxmm2l1pZy77UAse&#10;IZ+igiaEPpXSV42x6KeuN8Td0Q0WA8ehlnrAK4/bTsZR9CwttsQXGuxN0ZjqtD9bBa/F9h13ZWyT&#10;n654eTtu+q/D50Kpx4dxswIRzBhuMPzpszrk7FS6M2kvOgWTOHlaMMvNbL4EwQjHkuM8WYLMM/n/&#10;g/wXAAD//wMAUEsBAi0AFAAGAAgAAAAhALaDOJL+AAAA4QEAABMAAAAAAAAAAAAAAAAAAAAAAFtD&#10;b250ZW50X1R5cGVzXS54bWxQSwECLQAUAAYACAAAACEAOP0h/9YAAACUAQAACwAAAAAAAAAAAAAA&#10;AAAvAQAAX3JlbHMvLnJlbHNQSwECLQAUAAYACAAAACEAP7iGQDQCAABhBAAADgAAAAAAAAAAAAAA&#10;AAAuAgAAZHJzL2Uyb0RvYy54bWxQSwECLQAUAAYACAAAACEAPnAYJt8AAAAJAQAADwAAAAAAAAAA&#10;AAAAAACOBAAAZHJzL2Rvd25yZXYueG1sUEsFBgAAAAAEAAQA8wAAAJoFAAAAAA==&#10;" filled="f" stroked="f" strokeweight=".5pt">
              <v:textbox>
                <w:txbxContent>
                  <w:p w:rsidR="007517A5" w:rsidRPr="0074482F" w:rsidRDefault="007517A5" w:rsidP="0074482F">
                    <w:pPr>
                      <w:jc w:val="right"/>
                      <w:rPr>
                        <w:color w:val="FFFFFF" w:themeColor="background1"/>
                        <w:sz w:val="16"/>
                        <w:szCs w:val="16"/>
                      </w:rPr>
                    </w:pPr>
                    <w:r w:rsidRPr="0074482F">
                      <w:rPr>
                        <w:color w:val="FFFFFF" w:themeColor="background1"/>
                        <w:sz w:val="16"/>
                        <w:szCs w:val="16"/>
                      </w:rPr>
                      <w:t>www.thelinkeducationtrust.co.uk</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0EB" w:rsidRDefault="009C50EB" w:rsidP="0074482F">
      <w:r>
        <w:separator/>
      </w:r>
    </w:p>
  </w:footnote>
  <w:footnote w:type="continuationSeparator" w:id="0">
    <w:p w:rsidR="009C50EB" w:rsidRDefault="009C50EB" w:rsidP="0074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27F"/>
    <w:multiLevelType w:val="hybridMultilevel"/>
    <w:tmpl w:val="8A2889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87DF7"/>
    <w:multiLevelType w:val="hybridMultilevel"/>
    <w:tmpl w:val="7CD0C3B8"/>
    <w:lvl w:ilvl="0" w:tplc="04BCE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C0CA0"/>
    <w:multiLevelType w:val="hybridMultilevel"/>
    <w:tmpl w:val="2374920A"/>
    <w:lvl w:ilvl="0" w:tplc="04BCE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A5"/>
    <w:rsid w:val="000878CC"/>
    <w:rsid w:val="0011565D"/>
    <w:rsid w:val="001225DE"/>
    <w:rsid w:val="001234D6"/>
    <w:rsid w:val="001C42AF"/>
    <w:rsid w:val="0032173A"/>
    <w:rsid w:val="00337A70"/>
    <w:rsid w:val="003C16A4"/>
    <w:rsid w:val="00402C19"/>
    <w:rsid w:val="005464F7"/>
    <w:rsid w:val="005727E5"/>
    <w:rsid w:val="00575AAB"/>
    <w:rsid w:val="00643AAF"/>
    <w:rsid w:val="006D6E14"/>
    <w:rsid w:val="006E1856"/>
    <w:rsid w:val="007208C7"/>
    <w:rsid w:val="0074482F"/>
    <w:rsid w:val="007517A5"/>
    <w:rsid w:val="00773B25"/>
    <w:rsid w:val="007F3882"/>
    <w:rsid w:val="00810BD5"/>
    <w:rsid w:val="0092213B"/>
    <w:rsid w:val="00942F5A"/>
    <w:rsid w:val="00961B80"/>
    <w:rsid w:val="009C50EB"/>
    <w:rsid w:val="00A133CD"/>
    <w:rsid w:val="00A23408"/>
    <w:rsid w:val="00B76955"/>
    <w:rsid w:val="00C52C72"/>
    <w:rsid w:val="00CC3BAC"/>
    <w:rsid w:val="00D60507"/>
    <w:rsid w:val="00D64FEF"/>
    <w:rsid w:val="00D86546"/>
    <w:rsid w:val="00D94C01"/>
    <w:rsid w:val="00DE6D10"/>
    <w:rsid w:val="00E07EB3"/>
    <w:rsid w:val="00E27C4F"/>
    <w:rsid w:val="00E92C11"/>
    <w:rsid w:val="00EE720A"/>
    <w:rsid w:val="00FC098A"/>
    <w:rsid w:val="00FD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1C8DB"/>
  <w15:chartTrackingRefBased/>
  <w15:docId w15:val="{CACEA817-95D6-864F-9DCE-11A59ACF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7A5"/>
    <w:pPr>
      <w:tabs>
        <w:tab w:val="center" w:pos="4513"/>
        <w:tab w:val="right" w:pos="9026"/>
      </w:tabs>
    </w:pPr>
  </w:style>
  <w:style w:type="character" w:customStyle="1" w:styleId="HeaderChar">
    <w:name w:val="Header Char"/>
    <w:basedOn w:val="DefaultParagraphFont"/>
    <w:link w:val="Header"/>
    <w:uiPriority w:val="99"/>
    <w:rsid w:val="007517A5"/>
  </w:style>
  <w:style w:type="paragraph" w:styleId="Footer">
    <w:name w:val="footer"/>
    <w:basedOn w:val="Normal"/>
    <w:link w:val="FooterChar"/>
    <w:uiPriority w:val="99"/>
    <w:unhideWhenUsed/>
    <w:rsid w:val="007517A5"/>
    <w:pPr>
      <w:tabs>
        <w:tab w:val="center" w:pos="4513"/>
        <w:tab w:val="right" w:pos="9026"/>
      </w:tabs>
    </w:pPr>
  </w:style>
  <w:style w:type="character" w:customStyle="1" w:styleId="FooterChar">
    <w:name w:val="Footer Char"/>
    <w:basedOn w:val="DefaultParagraphFont"/>
    <w:link w:val="Footer"/>
    <w:uiPriority w:val="99"/>
    <w:rsid w:val="007517A5"/>
  </w:style>
  <w:style w:type="paragraph" w:styleId="ListParagraph">
    <w:name w:val="List Paragraph"/>
    <w:basedOn w:val="Normal"/>
    <w:uiPriority w:val="34"/>
    <w:qFormat/>
    <w:rsid w:val="00402C19"/>
    <w:pPr>
      <w:spacing w:after="160" w:line="259" w:lineRule="auto"/>
      <w:ind w:left="720"/>
      <w:contextualSpacing/>
    </w:pPr>
    <w:rPr>
      <w:rFonts w:asciiTheme="minorHAnsi" w:hAnsiTheme="minorHAnsi" w:cstheme="minorBidi"/>
      <w:kern w:val="0"/>
      <w:sz w:val="22"/>
      <w:szCs w:val="22"/>
      <w14:ligatures w14:val="none"/>
    </w:rPr>
  </w:style>
  <w:style w:type="character" w:styleId="Hyperlink">
    <w:name w:val="Hyperlink"/>
    <w:basedOn w:val="DefaultParagraphFont"/>
    <w:uiPriority w:val="99"/>
    <w:unhideWhenUsed/>
    <w:rsid w:val="00402C19"/>
    <w:rPr>
      <w:color w:val="0563C1" w:themeColor="hyperlink"/>
      <w:u w:val="single"/>
    </w:rPr>
  </w:style>
  <w:style w:type="paragraph" w:styleId="BalloonText">
    <w:name w:val="Balloon Text"/>
    <w:basedOn w:val="Normal"/>
    <w:link w:val="BalloonTextChar"/>
    <w:uiPriority w:val="99"/>
    <w:semiHidden/>
    <w:unhideWhenUsed/>
    <w:rsid w:val="0096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935">
      <w:bodyDiv w:val="1"/>
      <w:marLeft w:val="0"/>
      <w:marRight w:val="0"/>
      <w:marTop w:val="0"/>
      <w:marBottom w:val="0"/>
      <w:divBdr>
        <w:top w:val="none" w:sz="0" w:space="0" w:color="auto"/>
        <w:left w:val="none" w:sz="0" w:space="0" w:color="auto"/>
        <w:bottom w:val="none" w:sz="0" w:space="0" w:color="auto"/>
        <w:right w:val="none" w:sz="0" w:space="0" w:color="auto"/>
      </w:divBdr>
    </w:div>
    <w:div w:id="20967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alford.gov.uk/localof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Hollings</dc:creator>
  <cp:keywords/>
  <dc:description/>
  <cp:lastModifiedBy>Rachael Kettle</cp:lastModifiedBy>
  <cp:revision>4</cp:revision>
  <cp:lastPrinted>2024-01-29T14:31:00Z</cp:lastPrinted>
  <dcterms:created xsi:type="dcterms:W3CDTF">2024-02-15T14:47:00Z</dcterms:created>
  <dcterms:modified xsi:type="dcterms:W3CDTF">2024-02-19T13:13:00Z</dcterms:modified>
</cp:coreProperties>
</file>